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02E1" w14:textId="77777777" w:rsidR="00800509" w:rsidRDefault="00800509" w:rsidP="0011064C">
      <w:pPr>
        <w:spacing w:after="0" w:line="240" w:lineRule="auto"/>
        <w:rPr>
          <w:rFonts w:ascii="Arial" w:hAnsi="Arial" w:cs="Arial"/>
          <w:b/>
          <w:bCs/>
          <w:sz w:val="22"/>
          <w:szCs w:val="22"/>
        </w:rPr>
      </w:pPr>
      <w:r w:rsidRPr="00DD08B1">
        <w:rPr>
          <w:rFonts w:ascii="Arial" w:hAnsi="Arial" w:cs="Arial"/>
          <w:b/>
          <w:bCs/>
          <w:sz w:val="22"/>
          <w:szCs w:val="22"/>
        </w:rPr>
        <w:t>Innovation in the Allied Health Professions: Service Manager Views on the Implementation of Prescribing by Dietitians</w:t>
      </w:r>
    </w:p>
    <w:p w14:paraId="428A46BC" w14:textId="77777777" w:rsidR="009664C9" w:rsidRPr="00DD08B1" w:rsidRDefault="009664C9" w:rsidP="0011064C">
      <w:pPr>
        <w:spacing w:after="0" w:line="240" w:lineRule="auto"/>
        <w:rPr>
          <w:rFonts w:ascii="Arial" w:hAnsi="Arial" w:cs="Arial"/>
          <w:b/>
          <w:bCs/>
          <w:sz w:val="22"/>
          <w:szCs w:val="22"/>
        </w:rPr>
      </w:pPr>
    </w:p>
    <w:p w14:paraId="230853BF" w14:textId="77777777" w:rsidR="00800509" w:rsidRPr="00183E24" w:rsidRDefault="00800509" w:rsidP="0011064C">
      <w:pPr>
        <w:spacing w:after="0" w:line="240" w:lineRule="auto"/>
        <w:rPr>
          <w:rFonts w:ascii="Arial" w:hAnsi="Arial" w:cs="Arial"/>
          <w:sz w:val="20"/>
          <w:szCs w:val="20"/>
        </w:rPr>
      </w:pPr>
      <w:r w:rsidRPr="00183E24">
        <w:rPr>
          <w:rFonts w:ascii="Arial" w:hAnsi="Arial" w:cs="Arial"/>
          <w:sz w:val="20"/>
          <w:szCs w:val="20"/>
        </w:rPr>
        <w:t>K Hart</w:t>
      </w:r>
      <w:r w:rsidRPr="00183E24">
        <w:rPr>
          <w:rFonts w:ascii="Arial" w:hAnsi="Arial" w:cs="Arial"/>
          <w:sz w:val="20"/>
          <w:szCs w:val="20"/>
          <w:vertAlign w:val="superscript"/>
        </w:rPr>
        <w:t>1</w:t>
      </w:r>
      <w:r w:rsidRPr="00183E24">
        <w:rPr>
          <w:rFonts w:ascii="Arial" w:hAnsi="Arial" w:cs="Arial"/>
          <w:sz w:val="20"/>
          <w:szCs w:val="20"/>
        </w:rPr>
        <w:t>, K Stenner</w:t>
      </w:r>
      <w:r w:rsidRPr="00183E24">
        <w:rPr>
          <w:rFonts w:ascii="Arial" w:hAnsi="Arial" w:cs="Arial"/>
          <w:sz w:val="20"/>
          <w:szCs w:val="20"/>
          <w:vertAlign w:val="superscript"/>
        </w:rPr>
        <w:t>2</w:t>
      </w:r>
      <w:r w:rsidRPr="00183E24">
        <w:rPr>
          <w:rFonts w:ascii="Arial" w:hAnsi="Arial" w:cs="Arial"/>
          <w:sz w:val="20"/>
          <w:szCs w:val="20"/>
        </w:rPr>
        <w:t>, K Shaw</w:t>
      </w:r>
      <w:r w:rsidRPr="00183E24">
        <w:rPr>
          <w:rFonts w:ascii="Arial" w:hAnsi="Arial" w:cs="Arial"/>
          <w:sz w:val="20"/>
          <w:szCs w:val="20"/>
          <w:vertAlign w:val="superscript"/>
        </w:rPr>
        <w:t>2</w:t>
      </w:r>
      <w:r w:rsidRPr="00183E24">
        <w:rPr>
          <w:rFonts w:ascii="Arial" w:hAnsi="Arial" w:cs="Arial"/>
          <w:sz w:val="20"/>
          <w:szCs w:val="20"/>
        </w:rPr>
        <w:t>, J Edwards</w:t>
      </w:r>
      <w:r w:rsidRPr="00183E24">
        <w:rPr>
          <w:rFonts w:ascii="Arial" w:hAnsi="Arial" w:cs="Arial"/>
          <w:sz w:val="20"/>
          <w:szCs w:val="20"/>
          <w:vertAlign w:val="superscript"/>
        </w:rPr>
        <w:t>2</w:t>
      </w:r>
      <w:r w:rsidRPr="00183E24">
        <w:rPr>
          <w:rFonts w:ascii="Arial" w:hAnsi="Arial" w:cs="Arial"/>
          <w:sz w:val="20"/>
          <w:szCs w:val="20"/>
        </w:rPr>
        <w:t>, S van Even</w:t>
      </w:r>
      <w:r w:rsidRPr="00183E24">
        <w:rPr>
          <w:rFonts w:ascii="Arial" w:hAnsi="Arial" w:cs="Arial"/>
          <w:sz w:val="20"/>
          <w:szCs w:val="20"/>
          <w:vertAlign w:val="superscript"/>
        </w:rPr>
        <w:t>2</w:t>
      </w:r>
      <w:r w:rsidRPr="00183E24">
        <w:rPr>
          <w:rFonts w:ascii="Arial" w:hAnsi="Arial" w:cs="Arial"/>
          <w:sz w:val="20"/>
          <w:szCs w:val="20"/>
        </w:rPr>
        <w:t> &amp; N Carey</w:t>
      </w:r>
      <w:r w:rsidRPr="00183E24">
        <w:rPr>
          <w:rFonts w:ascii="Arial" w:hAnsi="Arial" w:cs="Arial"/>
          <w:sz w:val="20"/>
          <w:szCs w:val="20"/>
          <w:vertAlign w:val="superscript"/>
        </w:rPr>
        <w:t>3</w:t>
      </w:r>
    </w:p>
    <w:p w14:paraId="21AF5FF9" w14:textId="7375AEA4" w:rsidR="00800509" w:rsidRDefault="35EFFEDE" w:rsidP="0011064C">
      <w:pPr>
        <w:spacing w:after="0" w:line="240" w:lineRule="auto"/>
        <w:rPr>
          <w:rFonts w:ascii="Arial" w:hAnsi="Arial" w:cs="Arial"/>
          <w:sz w:val="20"/>
          <w:szCs w:val="20"/>
        </w:rPr>
      </w:pPr>
      <w:r w:rsidRPr="719BA9F0">
        <w:rPr>
          <w:rFonts w:ascii="Arial" w:hAnsi="Arial" w:cs="Arial"/>
          <w:sz w:val="20"/>
          <w:szCs w:val="20"/>
          <w:vertAlign w:val="superscript"/>
        </w:rPr>
        <w:t>1</w:t>
      </w:r>
      <w:r w:rsidRPr="719BA9F0">
        <w:rPr>
          <w:rFonts w:ascii="Arial" w:hAnsi="Arial" w:cs="Arial"/>
          <w:sz w:val="20"/>
          <w:szCs w:val="20"/>
        </w:rPr>
        <w:t xml:space="preserve">School of Biosciences &amp; Medicine, University of Surrey, Guildford, GU2 7XH </w:t>
      </w:r>
      <w:r w:rsidRPr="719BA9F0">
        <w:rPr>
          <w:rFonts w:ascii="Arial" w:hAnsi="Arial" w:cs="Arial"/>
          <w:sz w:val="20"/>
          <w:szCs w:val="20"/>
          <w:vertAlign w:val="superscript"/>
        </w:rPr>
        <w:t>2</w:t>
      </w:r>
      <w:r w:rsidRPr="719BA9F0">
        <w:rPr>
          <w:rFonts w:ascii="Arial" w:hAnsi="Arial" w:cs="Arial"/>
          <w:sz w:val="20"/>
          <w:szCs w:val="20"/>
        </w:rPr>
        <w:t xml:space="preserve">School of Health Sciences, University of Surrey, Guildford, GU2 7XH </w:t>
      </w:r>
      <w:r w:rsidRPr="719BA9F0">
        <w:rPr>
          <w:rFonts w:ascii="Arial" w:hAnsi="Arial" w:cs="Arial"/>
          <w:sz w:val="20"/>
          <w:szCs w:val="20"/>
          <w:vertAlign w:val="superscript"/>
        </w:rPr>
        <w:t>3</w:t>
      </w:r>
      <w:r w:rsidRPr="719BA9F0">
        <w:rPr>
          <w:rFonts w:ascii="Arial" w:hAnsi="Arial" w:cs="Arial"/>
          <w:sz w:val="20"/>
          <w:szCs w:val="20"/>
        </w:rPr>
        <w:t xml:space="preserve">Department of Nursing and Midwifery, University of the Highlands and Islands, Inverness IV2 3JH </w:t>
      </w:r>
    </w:p>
    <w:p w14:paraId="0A5E3B1A" w14:textId="32C9AED1" w:rsidR="00800509" w:rsidRDefault="00800509" w:rsidP="0011064C">
      <w:pPr>
        <w:spacing w:after="0" w:line="240" w:lineRule="auto"/>
        <w:rPr>
          <w:rFonts w:ascii="Arial" w:hAnsi="Arial" w:cs="Arial"/>
          <w:b/>
          <w:bCs/>
          <w:sz w:val="20"/>
          <w:szCs w:val="20"/>
        </w:rPr>
      </w:pPr>
    </w:p>
    <w:p w14:paraId="7F7E41BE" w14:textId="5C25C9CA" w:rsidR="00800509" w:rsidRPr="009E6309" w:rsidRDefault="35EFFEDE" w:rsidP="0011064C">
      <w:pPr>
        <w:spacing w:after="0" w:line="240" w:lineRule="auto"/>
        <w:rPr>
          <w:rFonts w:ascii="Arial" w:hAnsi="Arial" w:cs="Arial"/>
          <w:sz w:val="22"/>
          <w:szCs w:val="22"/>
        </w:rPr>
      </w:pPr>
      <w:r w:rsidRPr="009E6309">
        <w:rPr>
          <w:rFonts w:ascii="Arial" w:hAnsi="Arial" w:cs="Arial"/>
          <w:b/>
          <w:bCs/>
          <w:sz w:val="22"/>
          <w:szCs w:val="22"/>
        </w:rPr>
        <w:t>Corresponding Author:</w:t>
      </w:r>
      <w:r w:rsidRPr="009E6309">
        <w:rPr>
          <w:rFonts w:ascii="Arial" w:hAnsi="Arial" w:cs="Arial"/>
          <w:sz w:val="22"/>
          <w:szCs w:val="22"/>
        </w:rPr>
        <w:t> Kathryn Hart, </w:t>
      </w:r>
      <w:hyperlink r:id="rId8">
        <w:r w:rsidRPr="009E6309">
          <w:rPr>
            <w:rStyle w:val="Hyperlink"/>
            <w:rFonts w:ascii="Arial" w:hAnsi="Arial" w:cs="Arial"/>
            <w:b/>
            <w:bCs/>
            <w:sz w:val="22"/>
            <w:szCs w:val="22"/>
          </w:rPr>
          <w:t>k.hart@surrey.ac.uk</w:t>
        </w:r>
      </w:hyperlink>
    </w:p>
    <w:p w14:paraId="5D1E86BE" w14:textId="77777777" w:rsidR="00800509" w:rsidRPr="00800509" w:rsidRDefault="00800509" w:rsidP="0011064C">
      <w:pPr>
        <w:spacing w:after="0" w:line="240" w:lineRule="auto"/>
        <w:rPr>
          <w:rFonts w:ascii="Arial" w:hAnsi="Arial" w:cs="Arial"/>
          <w:sz w:val="20"/>
          <w:szCs w:val="20"/>
        </w:rPr>
      </w:pPr>
    </w:p>
    <w:p w14:paraId="29AD19D3" w14:textId="1360578E" w:rsidR="00800509" w:rsidRPr="00DD08B1" w:rsidRDefault="00800509" w:rsidP="0011064C">
      <w:pPr>
        <w:spacing w:after="0" w:line="240" w:lineRule="auto"/>
        <w:rPr>
          <w:rFonts w:ascii="Arial" w:hAnsi="Arial" w:cs="Arial"/>
          <w:sz w:val="22"/>
          <w:szCs w:val="22"/>
        </w:rPr>
      </w:pPr>
      <w:r w:rsidRPr="00DD08B1">
        <w:rPr>
          <w:rFonts w:ascii="Arial" w:hAnsi="Arial" w:cs="Arial"/>
          <w:b/>
          <w:bCs/>
          <w:sz w:val="22"/>
          <w:szCs w:val="22"/>
        </w:rPr>
        <w:t>Introduction:</w:t>
      </w:r>
      <w:r w:rsidRPr="00DD08B1">
        <w:rPr>
          <w:rFonts w:ascii="Arial" w:hAnsi="Arial" w:cs="Arial"/>
          <w:sz w:val="22"/>
          <w:szCs w:val="22"/>
        </w:rPr>
        <w:t xml:space="preserve">  Since 2016, dietitians working at an advanced level have been eligible to train </w:t>
      </w:r>
      <w:r w:rsidR="00192F0F">
        <w:rPr>
          <w:rFonts w:ascii="Arial" w:hAnsi="Arial" w:cs="Arial"/>
          <w:sz w:val="22"/>
          <w:szCs w:val="22"/>
        </w:rPr>
        <w:t>in</w:t>
      </w:r>
      <w:r w:rsidRPr="00DD08B1">
        <w:rPr>
          <w:rFonts w:ascii="Arial" w:hAnsi="Arial" w:cs="Arial"/>
          <w:sz w:val="22"/>
          <w:szCs w:val="22"/>
        </w:rPr>
        <w:t xml:space="preserve"> supplementary prescribing (SP). While there is evidence that non-medical prescribing is beneficial to patients and services, research has also identified barriers to its uptake and use</w:t>
      </w:r>
      <w:r w:rsidR="0005777D" w:rsidRPr="00DD08B1">
        <w:rPr>
          <w:rFonts w:ascii="Arial" w:hAnsi="Arial" w:cs="Arial"/>
          <w:sz w:val="22"/>
          <w:szCs w:val="22"/>
          <w:vertAlign w:val="superscript"/>
        </w:rPr>
        <w:t>1</w:t>
      </w:r>
      <w:r w:rsidRPr="00DD08B1">
        <w:rPr>
          <w:rFonts w:ascii="Arial" w:hAnsi="Arial" w:cs="Arial"/>
          <w:sz w:val="22"/>
          <w:szCs w:val="22"/>
        </w:rPr>
        <w:t>. In order to maximise the value of dietetic SP, the factors affecting implementation need to be understood and addressed. The aim of this study was to investigate dietetic managers’ views on the uptake and implementation of dietetic prescribing.</w:t>
      </w:r>
    </w:p>
    <w:p w14:paraId="76C346DA" w14:textId="77777777" w:rsidR="00F65638" w:rsidRDefault="00F65638" w:rsidP="0011064C">
      <w:pPr>
        <w:spacing w:after="0" w:line="240" w:lineRule="auto"/>
        <w:rPr>
          <w:rFonts w:ascii="Arial" w:hAnsi="Arial" w:cs="Arial"/>
          <w:b/>
          <w:bCs/>
          <w:sz w:val="22"/>
          <w:szCs w:val="22"/>
        </w:rPr>
      </w:pPr>
    </w:p>
    <w:p w14:paraId="70C47A9B" w14:textId="5CC46E2B" w:rsidR="00800509" w:rsidRPr="00DD08B1" w:rsidRDefault="00800509" w:rsidP="0011064C">
      <w:pPr>
        <w:spacing w:after="0" w:line="240" w:lineRule="auto"/>
        <w:rPr>
          <w:rFonts w:ascii="Arial" w:hAnsi="Arial" w:cs="Arial"/>
          <w:sz w:val="22"/>
          <w:szCs w:val="22"/>
        </w:rPr>
      </w:pPr>
      <w:r w:rsidRPr="00DD08B1">
        <w:rPr>
          <w:rFonts w:ascii="Arial" w:hAnsi="Arial" w:cs="Arial"/>
          <w:b/>
          <w:bCs/>
          <w:sz w:val="22"/>
          <w:szCs w:val="22"/>
        </w:rPr>
        <w:t>Methods:</w:t>
      </w:r>
      <w:r w:rsidRPr="00DD08B1">
        <w:rPr>
          <w:rFonts w:ascii="Arial" w:hAnsi="Arial" w:cs="Arial"/>
          <w:sz w:val="22"/>
          <w:szCs w:val="22"/>
        </w:rPr>
        <w:t> One-to-one telephone interviews were conducted with NHS trust dietetic managers in England to explore factors that influence the uptake and use of prescribing. Participants were recruited via the professional body, project team contacts and publicly available information on Trust websites. Thematic analysis was conducted to identify key barriers or facilitators, and any patterns linked to stage of adoption and implementation. A favourable ethical opinion was received from the University of Surrey Ethics Committee.</w:t>
      </w:r>
    </w:p>
    <w:p w14:paraId="654ED8CC" w14:textId="77777777" w:rsidR="00F65638" w:rsidRDefault="00F65638" w:rsidP="0011064C">
      <w:pPr>
        <w:spacing w:after="0" w:line="240" w:lineRule="auto"/>
        <w:rPr>
          <w:rFonts w:ascii="Arial" w:hAnsi="Arial" w:cs="Arial"/>
          <w:b/>
          <w:bCs/>
          <w:sz w:val="22"/>
          <w:szCs w:val="22"/>
        </w:rPr>
      </w:pPr>
    </w:p>
    <w:p w14:paraId="3CA08D09" w14:textId="3C82143A" w:rsidR="00800509" w:rsidRPr="00DD08B1" w:rsidRDefault="00800509" w:rsidP="0011064C">
      <w:pPr>
        <w:spacing w:after="0" w:line="240" w:lineRule="auto"/>
        <w:rPr>
          <w:rFonts w:ascii="Arial" w:hAnsi="Arial" w:cs="Arial"/>
          <w:sz w:val="22"/>
          <w:szCs w:val="22"/>
        </w:rPr>
      </w:pPr>
      <w:r w:rsidRPr="00DD08B1">
        <w:rPr>
          <w:rFonts w:ascii="Arial" w:hAnsi="Arial" w:cs="Arial"/>
          <w:b/>
          <w:bCs/>
          <w:sz w:val="22"/>
          <w:szCs w:val="22"/>
        </w:rPr>
        <w:t>Results:</w:t>
      </w:r>
      <w:r w:rsidRPr="00DD08B1">
        <w:rPr>
          <w:rFonts w:ascii="Arial" w:hAnsi="Arial" w:cs="Arial"/>
          <w:sz w:val="22"/>
          <w:szCs w:val="22"/>
        </w:rPr>
        <w:t> Data were collected from 30 managers of dietetic services (October 2019 to March 2021). Six follow up interviews, selected by stage of implementation</w:t>
      </w:r>
      <w:r w:rsidR="0005777D" w:rsidRPr="00DD08B1">
        <w:rPr>
          <w:rFonts w:ascii="Arial" w:hAnsi="Arial" w:cs="Arial"/>
          <w:sz w:val="22"/>
          <w:szCs w:val="22"/>
          <w:vertAlign w:val="superscript"/>
        </w:rPr>
        <w:t>2</w:t>
      </w:r>
      <w:r w:rsidRPr="00DD08B1">
        <w:rPr>
          <w:rFonts w:ascii="Arial" w:hAnsi="Arial" w:cs="Arial"/>
          <w:sz w:val="22"/>
          <w:szCs w:val="22"/>
        </w:rPr>
        <w:t>, were conducted a median of 22 months later. At baseline over half (n = 18) of the managers had no dietitian prescribers with the remainder having between 1 and 4 in post (16 prescribing). A key factor that influenced implementation of prescribing was the ability to demonstrate clinical need and benefit, whilst early adoption specifically was influenced by individual motivation, backed by pro-A</w:t>
      </w:r>
      <w:r w:rsidR="003D5FDF">
        <w:rPr>
          <w:rFonts w:ascii="Arial" w:hAnsi="Arial" w:cs="Arial"/>
          <w:sz w:val="22"/>
          <w:szCs w:val="22"/>
        </w:rPr>
        <w:t xml:space="preserve">llied </w:t>
      </w:r>
      <w:r w:rsidRPr="00DD08B1">
        <w:rPr>
          <w:rFonts w:ascii="Arial" w:hAnsi="Arial" w:cs="Arial"/>
          <w:sz w:val="22"/>
          <w:szCs w:val="22"/>
        </w:rPr>
        <w:t>H</w:t>
      </w:r>
      <w:r w:rsidR="003D5FDF">
        <w:rPr>
          <w:rFonts w:ascii="Arial" w:hAnsi="Arial" w:cs="Arial"/>
          <w:sz w:val="22"/>
          <w:szCs w:val="22"/>
        </w:rPr>
        <w:t xml:space="preserve">ealth </w:t>
      </w:r>
      <w:r w:rsidRPr="00DD08B1">
        <w:rPr>
          <w:rFonts w:ascii="Arial" w:hAnsi="Arial" w:cs="Arial"/>
          <w:sz w:val="22"/>
          <w:szCs w:val="22"/>
        </w:rPr>
        <w:t>P</w:t>
      </w:r>
      <w:r w:rsidR="003D5FDF">
        <w:rPr>
          <w:rFonts w:ascii="Arial" w:hAnsi="Arial" w:cs="Arial"/>
          <w:sz w:val="22"/>
          <w:szCs w:val="22"/>
        </w:rPr>
        <w:t>rofessional</w:t>
      </w:r>
      <w:r w:rsidRPr="00DD08B1">
        <w:rPr>
          <w:rFonts w:ascii="Arial" w:hAnsi="Arial" w:cs="Arial"/>
          <w:sz w:val="22"/>
          <w:szCs w:val="22"/>
        </w:rPr>
        <w:t xml:space="preserve"> prescribing organisational leadership and culture. Barriers to uptake included availability of alternative prescribers to issue prescriptions, time limitations and practicalities of SP compared to alternatives (e.g. Patient Group Directives), lack of funding and competition with other professions for training and poor individual/educational readiness. Progress was reported in all six trusts at follow-up; either having more qualified prescribers (n = 4) and/or plans for dietitians to undertake SP training (n = 4). Barriers and facilitators remained, but increased access to funding and the impact of the Covid-19 pandemic on recognising the potential for Dietetic SP roles in helping meet demand were key facilitators.</w:t>
      </w:r>
    </w:p>
    <w:p w14:paraId="589CA062" w14:textId="77777777" w:rsidR="00F65638" w:rsidRDefault="00F65638" w:rsidP="0011064C">
      <w:pPr>
        <w:spacing w:after="0" w:line="240" w:lineRule="auto"/>
        <w:rPr>
          <w:rFonts w:ascii="Arial" w:hAnsi="Arial" w:cs="Arial"/>
          <w:b/>
          <w:bCs/>
          <w:sz w:val="22"/>
          <w:szCs w:val="22"/>
        </w:rPr>
      </w:pPr>
    </w:p>
    <w:p w14:paraId="604F3BB4" w14:textId="1CE0013F" w:rsidR="00800509" w:rsidRPr="00DD08B1" w:rsidRDefault="00F62E43" w:rsidP="0011064C">
      <w:pPr>
        <w:spacing w:after="0" w:line="240" w:lineRule="auto"/>
        <w:rPr>
          <w:rFonts w:ascii="Arial" w:hAnsi="Arial" w:cs="Arial"/>
          <w:sz w:val="22"/>
          <w:szCs w:val="22"/>
        </w:rPr>
      </w:pPr>
      <w:r w:rsidRPr="00DD08B1">
        <w:rPr>
          <w:rFonts w:ascii="Arial" w:hAnsi="Arial" w:cs="Arial"/>
          <w:b/>
          <w:bCs/>
          <w:sz w:val="22"/>
          <w:szCs w:val="22"/>
        </w:rPr>
        <w:t>Conclusion</w:t>
      </w:r>
      <w:r w:rsidR="00800509" w:rsidRPr="00DD08B1">
        <w:rPr>
          <w:rFonts w:ascii="Arial" w:hAnsi="Arial" w:cs="Arial"/>
          <w:b/>
          <w:bCs/>
          <w:sz w:val="22"/>
          <w:szCs w:val="22"/>
        </w:rPr>
        <w:t>:</w:t>
      </w:r>
      <w:r w:rsidR="00800509" w:rsidRPr="00DD08B1">
        <w:rPr>
          <w:rFonts w:ascii="Arial" w:hAnsi="Arial" w:cs="Arial"/>
          <w:sz w:val="22"/>
          <w:szCs w:val="22"/>
        </w:rPr>
        <w:t> The adoption of prescribing by dietitians was considered beneficial to advanced roles and service innovation, thereby ultimately improving patient care. Many of the barriers identified have been reported previously in other professions, and reflect persistent issues in non-medical prescribing, such as poor pre-course preparation and role misunderstanding</w:t>
      </w:r>
      <w:r w:rsidR="00800509" w:rsidRPr="00DD08B1">
        <w:rPr>
          <w:rFonts w:ascii="Arial" w:hAnsi="Arial" w:cs="Arial"/>
          <w:sz w:val="22"/>
          <w:szCs w:val="22"/>
          <w:vertAlign w:val="superscript"/>
        </w:rPr>
        <w:t>3</w:t>
      </w:r>
      <w:r w:rsidR="00800509" w:rsidRPr="00DD08B1">
        <w:rPr>
          <w:rFonts w:ascii="Arial" w:hAnsi="Arial" w:cs="Arial"/>
          <w:sz w:val="22"/>
          <w:szCs w:val="22"/>
        </w:rPr>
        <w:t>. New issues identified relate to the expanded number of professions with prescribing responsibilities, increasing competition for course funding.</w:t>
      </w:r>
      <w:r w:rsidRPr="00DD08B1">
        <w:rPr>
          <w:rFonts w:ascii="Arial" w:hAnsi="Arial" w:cs="Arial"/>
          <w:sz w:val="22"/>
          <w:szCs w:val="22"/>
        </w:rPr>
        <w:t xml:space="preserve"> </w:t>
      </w:r>
      <w:r w:rsidR="00800509" w:rsidRPr="00DD08B1">
        <w:rPr>
          <w:rFonts w:ascii="Arial" w:hAnsi="Arial" w:cs="Arial"/>
          <w:sz w:val="22"/>
          <w:szCs w:val="22"/>
        </w:rPr>
        <w:t>There is a need for improved visibility of advanced roles within dietetics, to foster greater understanding of the potential for dietitian prescribing, combined with more practical support and advice for those considering becoming prescribers.</w:t>
      </w:r>
    </w:p>
    <w:p w14:paraId="1F7A06A1" w14:textId="77777777" w:rsidR="00F65638" w:rsidRDefault="00F65638" w:rsidP="0011064C">
      <w:pPr>
        <w:spacing w:after="0" w:line="240" w:lineRule="auto"/>
        <w:rPr>
          <w:rFonts w:ascii="Arial" w:hAnsi="Arial" w:cs="Arial"/>
          <w:b/>
          <w:bCs/>
          <w:sz w:val="20"/>
          <w:szCs w:val="20"/>
        </w:rPr>
      </w:pPr>
    </w:p>
    <w:p w14:paraId="5AB25782" w14:textId="0BC1A8EB" w:rsidR="00800509" w:rsidRPr="00800509" w:rsidRDefault="00800509" w:rsidP="0011064C">
      <w:pPr>
        <w:spacing w:after="0" w:line="240" w:lineRule="auto"/>
        <w:rPr>
          <w:rFonts w:ascii="Arial" w:hAnsi="Arial" w:cs="Arial"/>
          <w:sz w:val="20"/>
          <w:szCs w:val="20"/>
        </w:rPr>
      </w:pPr>
      <w:r w:rsidRPr="00800509">
        <w:rPr>
          <w:rFonts w:ascii="Arial" w:hAnsi="Arial" w:cs="Arial"/>
          <w:b/>
          <w:bCs/>
          <w:sz w:val="20"/>
          <w:szCs w:val="20"/>
        </w:rPr>
        <w:t>References</w:t>
      </w:r>
      <w:r w:rsidRPr="00800509">
        <w:rPr>
          <w:rFonts w:ascii="Arial" w:hAnsi="Arial" w:cs="Arial"/>
          <w:sz w:val="20"/>
          <w:szCs w:val="20"/>
        </w:rPr>
        <w:t>:</w:t>
      </w:r>
    </w:p>
    <w:p w14:paraId="2BD10AAA" w14:textId="7F1BAC7D" w:rsidR="00800509" w:rsidRPr="00800509" w:rsidRDefault="00800509" w:rsidP="0011064C">
      <w:pPr>
        <w:spacing w:after="0" w:line="240" w:lineRule="auto"/>
        <w:rPr>
          <w:rFonts w:ascii="Arial" w:hAnsi="Arial" w:cs="Arial"/>
          <w:sz w:val="20"/>
          <w:szCs w:val="20"/>
        </w:rPr>
      </w:pPr>
      <w:r w:rsidRPr="00800509">
        <w:rPr>
          <w:rFonts w:ascii="Arial" w:hAnsi="Arial" w:cs="Arial"/>
          <w:sz w:val="20"/>
          <w:szCs w:val="20"/>
        </w:rPr>
        <w:t>1. Courtenay M, Gerada C, Haywood J Working with non-medical prescribers. </w:t>
      </w:r>
      <w:r w:rsidRPr="00800509">
        <w:rPr>
          <w:rFonts w:ascii="Arial" w:hAnsi="Arial" w:cs="Arial"/>
          <w:i/>
          <w:iCs/>
          <w:sz w:val="20"/>
          <w:szCs w:val="20"/>
        </w:rPr>
        <w:t xml:space="preserve">Br J Gen </w:t>
      </w:r>
      <w:proofErr w:type="spellStart"/>
      <w:r w:rsidRPr="00800509">
        <w:rPr>
          <w:rFonts w:ascii="Arial" w:hAnsi="Arial" w:cs="Arial"/>
          <w:i/>
          <w:iCs/>
          <w:sz w:val="20"/>
          <w:szCs w:val="20"/>
        </w:rPr>
        <w:t>Pract</w:t>
      </w:r>
      <w:proofErr w:type="spellEnd"/>
      <w:r w:rsidR="00EF3D47">
        <w:rPr>
          <w:rFonts w:ascii="Arial" w:hAnsi="Arial" w:cs="Arial"/>
          <w:sz w:val="20"/>
          <w:szCs w:val="20"/>
        </w:rPr>
        <w:t xml:space="preserve">. </w:t>
      </w:r>
      <w:r w:rsidR="00EF3D47" w:rsidRPr="00EF3D47">
        <w:rPr>
          <w:rFonts w:ascii="Arial" w:hAnsi="Arial" w:cs="Arial"/>
          <w:sz w:val="20"/>
          <w:szCs w:val="20"/>
        </w:rPr>
        <w:t>2011</w:t>
      </w:r>
      <w:r w:rsidRPr="00800509">
        <w:rPr>
          <w:rFonts w:ascii="Arial" w:hAnsi="Arial" w:cs="Arial"/>
          <w:sz w:val="20"/>
          <w:szCs w:val="20"/>
        </w:rPr>
        <w:t xml:space="preserve"> 61(583):85-6.</w:t>
      </w:r>
    </w:p>
    <w:p w14:paraId="54B79BDF" w14:textId="61B90C6E" w:rsidR="00800509" w:rsidRPr="00800509" w:rsidRDefault="00800509" w:rsidP="0011064C">
      <w:pPr>
        <w:spacing w:after="0" w:line="240" w:lineRule="auto"/>
        <w:rPr>
          <w:rFonts w:ascii="Arial" w:hAnsi="Arial" w:cs="Arial"/>
          <w:sz w:val="20"/>
          <w:szCs w:val="20"/>
        </w:rPr>
      </w:pPr>
      <w:r>
        <w:rPr>
          <w:rFonts w:ascii="Arial" w:hAnsi="Arial" w:cs="Arial"/>
          <w:sz w:val="20"/>
          <w:szCs w:val="20"/>
        </w:rPr>
        <w:t>2</w:t>
      </w:r>
      <w:r w:rsidRPr="00800509">
        <w:rPr>
          <w:rFonts w:ascii="Arial" w:hAnsi="Arial" w:cs="Arial"/>
          <w:sz w:val="20"/>
          <w:szCs w:val="20"/>
        </w:rPr>
        <w:t>. Rogers EF</w:t>
      </w:r>
      <w:r w:rsidR="00EC0361">
        <w:rPr>
          <w:rFonts w:ascii="Arial" w:hAnsi="Arial" w:cs="Arial"/>
          <w:sz w:val="20"/>
          <w:szCs w:val="20"/>
        </w:rPr>
        <w:t>.</w:t>
      </w:r>
      <w:r w:rsidRPr="00800509">
        <w:rPr>
          <w:rFonts w:ascii="Arial" w:hAnsi="Arial" w:cs="Arial"/>
          <w:sz w:val="20"/>
          <w:szCs w:val="20"/>
        </w:rPr>
        <w:t xml:space="preserve"> Diffusion of Innovation. 5</w:t>
      </w:r>
      <w:r w:rsidRPr="00800509">
        <w:rPr>
          <w:rFonts w:ascii="Arial" w:hAnsi="Arial" w:cs="Arial"/>
          <w:sz w:val="20"/>
          <w:szCs w:val="20"/>
          <w:vertAlign w:val="superscript"/>
        </w:rPr>
        <w:t>th</w:t>
      </w:r>
      <w:r w:rsidRPr="00800509">
        <w:rPr>
          <w:rFonts w:ascii="Arial" w:hAnsi="Arial" w:cs="Arial"/>
          <w:sz w:val="20"/>
          <w:szCs w:val="20"/>
        </w:rPr>
        <w:t> Ed. Free Press, New York.</w:t>
      </w:r>
      <w:r w:rsidR="00A617F3">
        <w:rPr>
          <w:rFonts w:ascii="Arial" w:hAnsi="Arial" w:cs="Arial"/>
          <w:sz w:val="20"/>
          <w:szCs w:val="20"/>
        </w:rPr>
        <w:t xml:space="preserve"> </w:t>
      </w:r>
      <w:r w:rsidR="00EC0361">
        <w:rPr>
          <w:rFonts w:ascii="Arial" w:hAnsi="Arial" w:cs="Arial"/>
          <w:sz w:val="20"/>
          <w:szCs w:val="20"/>
        </w:rPr>
        <w:t>2003.</w:t>
      </w:r>
    </w:p>
    <w:p w14:paraId="129A221E" w14:textId="4CCA5B7A" w:rsidR="00800509" w:rsidRPr="00800509" w:rsidRDefault="00800509" w:rsidP="0011064C">
      <w:pPr>
        <w:spacing w:after="0" w:line="240" w:lineRule="auto"/>
        <w:rPr>
          <w:rFonts w:ascii="Arial" w:hAnsi="Arial" w:cs="Arial"/>
          <w:sz w:val="20"/>
          <w:szCs w:val="20"/>
        </w:rPr>
      </w:pPr>
      <w:r>
        <w:rPr>
          <w:rFonts w:ascii="Arial" w:hAnsi="Arial" w:cs="Arial"/>
          <w:sz w:val="20"/>
          <w:szCs w:val="20"/>
        </w:rPr>
        <w:t>3</w:t>
      </w:r>
      <w:r w:rsidRPr="00800509">
        <w:rPr>
          <w:rFonts w:ascii="Arial" w:hAnsi="Arial" w:cs="Arial"/>
          <w:sz w:val="20"/>
          <w:szCs w:val="20"/>
        </w:rPr>
        <w:t>.Graham-Clarke E, Rushton A, Noblet T, Marriott J</w:t>
      </w:r>
      <w:r w:rsidR="00817442">
        <w:rPr>
          <w:rFonts w:ascii="Arial" w:hAnsi="Arial" w:cs="Arial"/>
          <w:sz w:val="20"/>
          <w:szCs w:val="20"/>
        </w:rPr>
        <w:t xml:space="preserve">. </w:t>
      </w:r>
      <w:r w:rsidRPr="00800509">
        <w:rPr>
          <w:rFonts w:ascii="Arial" w:hAnsi="Arial" w:cs="Arial"/>
          <w:sz w:val="20"/>
          <w:szCs w:val="20"/>
        </w:rPr>
        <w:t>Facilitators and barriers to non-medical prescribing - A systematic review and thematic synthesis. </w:t>
      </w:r>
      <w:proofErr w:type="spellStart"/>
      <w:r w:rsidRPr="00800509">
        <w:rPr>
          <w:rFonts w:ascii="Arial" w:hAnsi="Arial" w:cs="Arial"/>
          <w:i/>
          <w:iCs/>
          <w:sz w:val="20"/>
          <w:szCs w:val="20"/>
        </w:rPr>
        <w:t>PLoS</w:t>
      </w:r>
      <w:proofErr w:type="spellEnd"/>
      <w:r w:rsidRPr="00800509">
        <w:rPr>
          <w:rFonts w:ascii="Arial" w:hAnsi="Arial" w:cs="Arial"/>
          <w:i/>
          <w:iCs/>
          <w:sz w:val="20"/>
          <w:szCs w:val="20"/>
        </w:rPr>
        <w:t xml:space="preserve"> One</w:t>
      </w:r>
      <w:r w:rsidRPr="00800509">
        <w:rPr>
          <w:rFonts w:ascii="Arial" w:hAnsi="Arial" w:cs="Arial"/>
          <w:sz w:val="20"/>
          <w:szCs w:val="20"/>
        </w:rPr>
        <w:t xml:space="preserve">. </w:t>
      </w:r>
      <w:r w:rsidR="00EC0361">
        <w:rPr>
          <w:rFonts w:ascii="Arial" w:hAnsi="Arial" w:cs="Arial"/>
          <w:sz w:val="20"/>
          <w:szCs w:val="20"/>
        </w:rPr>
        <w:t>2018</w:t>
      </w:r>
      <w:r w:rsidR="00817442">
        <w:rPr>
          <w:rFonts w:ascii="Arial" w:hAnsi="Arial" w:cs="Arial"/>
          <w:sz w:val="20"/>
          <w:szCs w:val="20"/>
        </w:rPr>
        <w:t xml:space="preserve"> </w:t>
      </w:r>
      <w:r w:rsidRPr="00800509">
        <w:rPr>
          <w:rFonts w:ascii="Arial" w:hAnsi="Arial" w:cs="Arial"/>
          <w:sz w:val="20"/>
          <w:szCs w:val="20"/>
        </w:rPr>
        <w:t>30;13(4</w:t>
      </w:r>
      <w:proofErr w:type="gramStart"/>
      <w:r w:rsidRPr="00800509">
        <w:rPr>
          <w:rFonts w:ascii="Arial" w:hAnsi="Arial" w:cs="Arial"/>
          <w:sz w:val="20"/>
          <w:szCs w:val="20"/>
        </w:rPr>
        <w:t>):e</w:t>
      </w:r>
      <w:proofErr w:type="gramEnd"/>
      <w:r w:rsidRPr="00800509">
        <w:rPr>
          <w:rFonts w:ascii="Arial" w:hAnsi="Arial" w:cs="Arial"/>
          <w:sz w:val="20"/>
          <w:szCs w:val="20"/>
        </w:rPr>
        <w:t>0196471.</w:t>
      </w:r>
    </w:p>
    <w:p w14:paraId="4856ABC2" w14:textId="04DC8371" w:rsidR="00F62E43" w:rsidRPr="00800509" w:rsidRDefault="5895CD1E" w:rsidP="0011064C">
      <w:pPr>
        <w:spacing w:after="0" w:line="240" w:lineRule="auto"/>
        <w:rPr>
          <w:rFonts w:ascii="Arial" w:hAnsi="Arial" w:cs="Arial"/>
          <w:sz w:val="20"/>
          <w:szCs w:val="20"/>
        </w:rPr>
      </w:pPr>
      <w:r w:rsidRPr="719BA9F0">
        <w:rPr>
          <w:rFonts w:ascii="Arial" w:hAnsi="Arial" w:cs="Arial"/>
          <w:sz w:val="20"/>
          <w:szCs w:val="20"/>
        </w:rPr>
        <w:t xml:space="preserve">Adapted from Hart </w:t>
      </w:r>
      <w:r w:rsidRPr="719BA9F0">
        <w:rPr>
          <w:rFonts w:ascii="Arial" w:hAnsi="Arial" w:cs="Arial"/>
          <w:i/>
          <w:iCs/>
          <w:sz w:val="20"/>
          <w:szCs w:val="20"/>
        </w:rPr>
        <w:t>et al</w:t>
      </w:r>
      <w:r w:rsidR="782A2F2A" w:rsidRPr="719BA9F0">
        <w:rPr>
          <w:rFonts w:ascii="Arial" w:hAnsi="Arial" w:cs="Arial"/>
          <w:i/>
          <w:iCs/>
          <w:sz w:val="20"/>
          <w:szCs w:val="20"/>
        </w:rPr>
        <w:t>.</w:t>
      </w:r>
      <w:r w:rsidRPr="719BA9F0">
        <w:rPr>
          <w:rFonts w:ascii="Arial" w:hAnsi="Arial" w:cs="Arial"/>
          <w:sz w:val="20"/>
          <w:szCs w:val="20"/>
        </w:rPr>
        <w:t xml:space="preserve"> JHND </w:t>
      </w:r>
      <w:hyperlink r:id="rId9">
        <w:r w:rsidRPr="719BA9F0">
          <w:rPr>
            <w:rStyle w:val="Hyperlink"/>
            <w:rFonts w:ascii="Arial" w:hAnsi="Arial" w:cs="Arial"/>
            <w:b/>
            <w:bCs/>
            <w:sz w:val="20"/>
            <w:szCs w:val="20"/>
          </w:rPr>
          <w:t>https://doi.org/10.1111/jhn.70092</w:t>
        </w:r>
      </w:hyperlink>
    </w:p>
    <w:sectPr w:rsidR="00F62E43" w:rsidRPr="00800509" w:rsidSect="008005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307F"/>
    <w:multiLevelType w:val="multilevel"/>
    <w:tmpl w:val="79EC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254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B8"/>
    <w:rsid w:val="0005777D"/>
    <w:rsid w:val="000A29B8"/>
    <w:rsid w:val="0011064C"/>
    <w:rsid w:val="00127969"/>
    <w:rsid w:val="0013609D"/>
    <w:rsid w:val="00183E24"/>
    <w:rsid w:val="00192F0F"/>
    <w:rsid w:val="00226FC6"/>
    <w:rsid w:val="002947B2"/>
    <w:rsid w:val="00363FDF"/>
    <w:rsid w:val="00391D32"/>
    <w:rsid w:val="003D5FDF"/>
    <w:rsid w:val="005430EF"/>
    <w:rsid w:val="005E0DB8"/>
    <w:rsid w:val="005E53AB"/>
    <w:rsid w:val="007838C6"/>
    <w:rsid w:val="00797CA2"/>
    <w:rsid w:val="007C0957"/>
    <w:rsid w:val="007D6BBB"/>
    <w:rsid w:val="007E76A5"/>
    <w:rsid w:val="00800509"/>
    <w:rsid w:val="00817442"/>
    <w:rsid w:val="009664C9"/>
    <w:rsid w:val="009E6309"/>
    <w:rsid w:val="00A35DEC"/>
    <w:rsid w:val="00A617F3"/>
    <w:rsid w:val="00B11C1B"/>
    <w:rsid w:val="00D75A49"/>
    <w:rsid w:val="00DD08B1"/>
    <w:rsid w:val="00E3795B"/>
    <w:rsid w:val="00E530AE"/>
    <w:rsid w:val="00EC0361"/>
    <w:rsid w:val="00EF3D47"/>
    <w:rsid w:val="00F62E43"/>
    <w:rsid w:val="00F65638"/>
    <w:rsid w:val="14F77016"/>
    <w:rsid w:val="35EFFEDE"/>
    <w:rsid w:val="5895CD1E"/>
    <w:rsid w:val="719BA9F0"/>
    <w:rsid w:val="782A2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81DF"/>
  <w15:chartTrackingRefBased/>
  <w15:docId w15:val="{A2B3157D-1312-4015-8089-278E3404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9B8"/>
  </w:style>
  <w:style w:type="paragraph" w:styleId="Heading1">
    <w:name w:val="heading 1"/>
    <w:basedOn w:val="Normal"/>
    <w:next w:val="Normal"/>
    <w:link w:val="Heading1Char"/>
    <w:uiPriority w:val="9"/>
    <w:qFormat/>
    <w:rsid w:val="000A29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29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29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29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29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2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9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29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29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29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29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2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9B8"/>
    <w:rPr>
      <w:rFonts w:eastAsiaTheme="majorEastAsia" w:cstheme="majorBidi"/>
      <w:color w:val="272727" w:themeColor="text1" w:themeTint="D8"/>
    </w:rPr>
  </w:style>
  <w:style w:type="paragraph" w:styleId="Title">
    <w:name w:val="Title"/>
    <w:basedOn w:val="Normal"/>
    <w:next w:val="Normal"/>
    <w:link w:val="TitleChar"/>
    <w:uiPriority w:val="10"/>
    <w:qFormat/>
    <w:rsid w:val="000A2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9B8"/>
    <w:pPr>
      <w:spacing w:before="160"/>
      <w:jc w:val="center"/>
    </w:pPr>
    <w:rPr>
      <w:i/>
      <w:iCs/>
      <w:color w:val="404040" w:themeColor="text1" w:themeTint="BF"/>
    </w:rPr>
  </w:style>
  <w:style w:type="character" w:customStyle="1" w:styleId="QuoteChar">
    <w:name w:val="Quote Char"/>
    <w:basedOn w:val="DefaultParagraphFont"/>
    <w:link w:val="Quote"/>
    <w:uiPriority w:val="29"/>
    <w:rsid w:val="000A29B8"/>
    <w:rPr>
      <w:i/>
      <w:iCs/>
      <w:color w:val="404040" w:themeColor="text1" w:themeTint="BF"/>
    </w:rPr>
  </w:style>
  <w:style w:type="paragraph" w:styleId="ListParagraph">
    <w:name w:val="List Paragraph"/>
    <w:basedOn w:val="Normal"/>
    <w:uiPriority w:val="34"/>
    <w:qFormat/>
    <w:rsid w:val="000A29B8"/>
    <w:pPr>
      <w:ind w:left="720"/>
      <w:contextualSpacing/>
    </w:pPr>
  </w:style>
  <w:style w:type="character" w:styleId="IntenseEmphasis">
    <w:name w:val="Intense Emphasis"/>
    <w:basedOn w:val="DefaultParagraphFont"/>
    <w:uiPriority w:val="21"/>
    <w:qFormat/>
    <w:rsid w:val="000A29B8"/>
    <w:rPr>
      <w:i/>
      <w:iCs/>
      <w:color w:val="2F5496" w:themeColor="accent1" w:themeShade="BF"/>
    </w:rPr>
  </w:style>
  <w:style w:type="paragraph" w:styleId="IntenseQuote">
    <w:name w:val="Intense Quote"/>
    <w:basedOn w:val="Normal"/>
    <w:next w:val="Normal"/>
    <w:link w:val="IntenseQuoteChar"/>
    <w:uiPriority w:val="30"/>
    <w:qFormat/>
    <w:rsid w:val="000A2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29B8"/>
    <w:rPr>
      <w:i/>
      <w:iCs/>
      <w:color w:val="2F5496" w:themeColor="accent1" w:themeShade="BF"/>
    </w:rPr>
  </w:style>
  <w:style w:type="character" w:styleId="IntenseReference">
    <w:name w:val="Intense Reference"/>
    <w:basedOn w:val="DefaultParagraphFont"/>
    <w:uiPriority w:val="32"/>
    <w:qFormat/>
    <w:rsid w:val="000A29B8"/>
    <w:rPr>
      <w:b/>
      <w:bCs/>
      <w:smallCaps/>
      <w:color w:val="2F5496" w:themeColor="accent1" w:themeShade="BF"/>
      <w:spacing w:val="5"/>
    </w:rPr>
  </w:style>
  <w:style w:type="table" w:styleId="TableGrid">
    <w:name w:val="Table Grid"/>
    <w:basedOn w:val="TableNormal"/>
    <w:uiPriority w:val="39"/>
    <w:rsid w:val="000A2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0509"/>
    <w:rPr>
      <w:color w:val="0563C1" w:themeColor="hyperlink"/>
      <w:u w:val="single"/>
    </w:rPr>
  </w:style>
  <w:style w:type="character" w:styleId="UnresolvedMention">
    <w:name w:val="Unresolved Mention"/>
    <w:basedOn w:val="DefaultParagraphFont"/>
    <w:uiPriority w:val="99"/>
    <w:semiHidden/>
    <w:unhideWhenUsed/>
    <w:rsid w:val="00800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rt@surrey.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11/jhn.70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52c53f-389c-4bb1-9799-74bd8c1339c5">
      <Terms xmlns="http://schemas.microsoft.com/office/infopath/2007/PartnerControls"/>
    </lcf76f155ced4ddcb4097134ff3c332f>
    <TaxCatchAll xmlns="a1708ee9-1037-4baf-8d73-0f5eb2fcf1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876FB6DF4A2D43935A3F5DF9AB72C1" ma:contentTypeVersion="14" ma:contentTypeDescription="Create a new document." ma:contentTypeScope="" ma:versionID="a802783d5e2764b28546e50acbe7b492">
  <xsd:schema xmlns:xsd="http://www.w3.org/2001/XMLSchema" xmlns:xs="http://www.w3.org/2001/XMLSchema" xmlns:p="http://schemas.microsoft.com/office/2006/metadata/properties" xmlns:ns2="1c52c53f-389c-4bb1-9799-74bd8c1339c5" xmlns:ns3="a1708ee9-1037-4baf-8d73-0f5eb2fcf1fd" targetNamespace="http://schemas.microsoft.com/office/2006/metadata/properties" ma:root="true" ma:fieldsID="db083d4522f50a6916c9c5ffe6b9f6b4" ns2:_="" ns3:_="">
    <xsd:import namespace="1c52c53f-389c-4bb1-9799-74bd8c1339c5"/>
    <xsd:import namespace="a1708ee9-1037-4baf-8d73-0f5eb2fcf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2c53f-389c-4bb1-9799-74bd8c133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33ea5d-5aec-404a-a080-1f1d52f10b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08ee9-1037-4baf-8d73-0f5eb2fcf1f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69cad1-663b-4fee-bd05-91b59d8a3287}" ma:internalName="TaxCatchAll" ma:showField="CatchAllData" ma:web="a1708ee9-1037-4baf-8d73-0f5eb2fcf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A00E0-105B-428A-9F59-522743AE47B7}">
  <ds:schemaRefs>
    <ds:schemaRef ds:uri="http://schemas.microsoft.com/office/2006/metadata/properties"/>
    <ds:schemaRef ds:uri="http://schemas.microsoft.com/office/infopath/2007/PartnerControls"/>
    <ds:schemaRef ds:uri="1c52c53f-389c-4bb1-9799-74bd8c1339c5"/>
    <ds:schemaRef ds:uri="a1708ee9-1037-4baf-8d73-0f5eb2fcf1fd"/>
  </ds:schemaRefs>
</ds:datastoreItem>
</file>

<file path=customXml/itemProps2.xml><?xml version="1.0" encoding="utf-8"?>
<ds:datastoreItem xmlns:ds="http://schemas.openxmlformats.org/officeDocument/2006/customXml" ds:itemID="{49F7C593-9CB2-4D63-8E8E-F92203DB8439}">
  <ds:schemaRefs>
    <ds:schemaRef ds:uri="http://schemas.microsoft.com/sharepoint/v3/contenttype/forms"/>
  </ds:schemaRefs>
</ds:datastoreItem>
</file>

<file path=customXml/itemProps3.xml><?xml version="1.0" encoding="utf-8"?>
<ds:datastoreItem xmlns:ds="http://schemas.openxmlformats.org/officeDocument/2006/customXml" ds:itemID="{574FC0A3-FC11-4C64-AC41-1891BB492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2c53f-389c-4bb1-9799-74bd8c1339c5"/>
    <ds:schemaRef ds:uri="a1708ee9-1037-4baf-8d73-0f5eb2fc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Jeanes</dc:creator>
  <cp:keywords/>
  <dc:description/>
  <cp:lastModifiedBy>Charlotte Whitehouse</cp:lastModifiedBy>
  <cp:revision>10</cp:revision>
  <dcterms:created xsi:type="dcterms:W3CDTF">2026-05-14T11:35:00Z</dcterms:created>
  <dcterms:modified xsi:type="dcterms:W3CDTF">2026-06-30T14:07:00Z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0x0101007C876FB6DF4A2D43935A3F5DF9AB72C1</vt:lpwstr>
  </property>
  <property fmtid="{D5CDD505-2E9C-101B-9397-08002B2CF9AE}" pid="3" name="MediaServiceImageTags">
    <vt:lpwstr/>
  </property>
</Properties>
</file>