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889C8" w14:textId="77777777" w:rsidR="0034387F" w:rsidRDefault="0034387F" w:rsidP="003B7C32">
      <w:bookmarkStart w:id="0" w:name="_Toc119071268"/>
      <w:bookmarkStart w:id="1" w:name="_GoBack"/>
      <w:bookmarkEnd w:id="1"/>
    </w:p>
    <w:p w14:paraId="27B345FF" w14:textId="77777777" w:rsidR="0034387F" w:rsidRDefault="0034387F" w:rsidP="003B7C32"/>
    <w:p w14:paraId="0C93D27C" w14:textId="31744829" w:rsidR="0034387F" w:rsidRDefault="00FD02D8" w:rsidP="00F24532">
      <w:pPr>
        <w:jc w:val="center"/>
      </w:pPr>
      <w:r>
        <w:rPr>
          <w:noProof/>
          <w:lang w:eastAsia="en-GB"/>
        </w:rPr>
        <w:drawing>
          <wp:inline distT="0" distB="0" distL="0" distR="0" wp14:anchorId="55011713" wp14:editId="25DF0700">
            <wp:extent cx="4197350" cy="828216"/>
            <wp:effectExtent l="19050" t="0" r="0" b="0"/>
            <wp:docPr id="3" name="Picture 2" descr="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A logo new.emf"/>
                    <pic:cNvPicPr/>
                  </pic:nvPicPr>
                  <pic:blipFill>
                    <a:blip r:embed="rId8" cstate="print"/>
                    <a:stretch>
                      <a:fillRect/>
                    </a:stretch>
                  </pic:blipFill>
                  <pic:spPr>
                    <a:xfrm>
                      <a:off x="0" y="0"/>
                      <a:ext cx="4209167" cy="830548"/>
                    </a:xfrm>
                    <a:prstGeom prst="rect">
                      <a:avLst/>
                    </a:prstGeom>
                  </pic:spPr>
                </pic:pic>
              </a:graphicData>
            </a:graphic>
          </wp:inline>
        </w:drawing>
      </w:r>
    </w:p>
    <w:p w14:paraId="4C9815B6" w14:textId="77777777" w:rsidR="0034387F" w:rsidRDefault="0034387F" w:rsidP="003B7C32"/>
    <w:p w14:paraId="46193543" w14:textId="6AF5CCAB" w:rsidR="00350497" w:rsidRPr="003B7C32" w:rsidRDefault="00EE6AF5" w:rsidP="003B7C32">
      <w:pPr>
        <w:jc w:val="center"/>
        <w:rPr>
          <w:color w:val="4F81BD" w:themeColor="accent1"/>
          <w:sz w:val="52"/>
          <w:szCs w:val="52"/>
        </w:rPr>
      </w:pPr>
      <w:r w:rsidRPr="003B7C32">
        <w:rPr>
          <w:color w:val="4F81BD" w:themeColor="accent1"/>
          <w:sz w:val="52"/>
          <w:szCs w:val="52"/>
        </w:rPr>
        <w:t>Competency and Skills framework For Dietitians working with people living with HIV</w:t>
      </w:r>
      <w:r w:rsidR="0007092C" w:rsidRPr="003B7C32">
        <w:rPr>
          <w:color w:val="4F81BD" w:themeColor="accent1"/>
          <w:sz w:val="52"/>
          <w:szCs w:val="52"/>
        </w:rPr>
        <w:t xml:space="preserve"> 2023</w:t>
      </w:r>
      <w:bookmarkEnd w:id="0"/>
    </w:p>
    <w:p w14:paraId="0DADE71A" w14:textId="51FF2BA4" w:rsidR="00FD02D8" w:rsidRPr="00D54E6F" w:rsidRDefault="00350497" w:rsidP="00FD02D8">
      <w:pPr>
        <w:rPr>
          <w:rFonts w:asciiTheme="majorHAnsi" w:eastAsiaTheme="majorEastAsia" w:hAnsiTheme="majorHAnsi" w:cstheme="majorBidi"/>
          <w:color w:val="243F60" w:themeColor="accent1" w:themeShade="7F"/>
          <w:sz w:val="24"/>
          <w:szCs w:val="24"/>
        </w:rPr>
      </w:pPr>
      <w:r w:rsidRPr="00C03BB7">
        <w:rPr>
          <w:sz w:val="44"/>
          <w:szCs w:val="44"/>
        </w:rPr>
        <w:br w:type="page"/>
      </w:r>
      <w:r w:rsidR="00FD02D8" w:rsidRPr="00D54E6F">
        <w:rPr>
          <w:rFonts w:asciiTheme="majorHAnsi" w:eastAsiaTheme="majorEastAsia" w:hAnsiTheme="majorHAnsi" w:cstheme="majorBidi"/>
          <w:color w:val="243F60" w:themeColor="accent1" w:themeShade="7F"/>
          <w:sz w:val="24"/>
          <w:szCs w:val="24"/>
        </w:rPr>
        <w:lastRenderedPageBreak/>
        <w:t>Lead Authors/Co-ordinators on behalf of BDA HIV Care Specialist Group</w:t>
      </w:r>
    </w:p>
    <w:p w14:paraId="638781BF" w14:textId="77777777" w:rsidR="00FD02D8" w:rsidRPr="00D54E6F" w:rsidRDefault="00FD02D8" w:rsidP="00FD02D8">
      <w:r>
        <w:t>Alice Pugliese, BSc PGDip RD, Specialist HIV Dietitian: Sheffield Teaching Hospitals NHS Foundation Trust</w:t>
      </w:r>
    </w:p>
    <w:p w14:paraId="60896A28" w14:textId="40816BED" w:rsidR="00FD02D8" w:rsidRDefault="00FD02D8" w:rsidP="00FD02D8">
      <w:r>
        <w:t xml:space="preserve">Maria Halley, </w:t>
      </w:r>
      <w:r w:rsidR="00F24532">
        <w:t xml:space="preserve">BSc, </w:t>
      </w:r>
      <w:r>
        <w:t>Specialist HIV Dietitian: St Mary's Hospital, Imperial College Healthcare NHS Trust</w:t>
      </w:r>
    </w:p>
    <w:p w14:paraId="12BA5E58" w14:textId="77777777" w:rsidR="00FD02D8" w:rsidRDefault="00FD02D8" w:rsidP="00FD02D8">
      <w:pPr>
        <w:rPr>
          <w:rFonts w:asciiTheme="majorHAnsi" w:eastAsiaTheme="majorEastAsia" w:hAnsiTheme="majorHAnsi" w:cstheme="majorBidi"/>
          <w:color w:val="243F60" w:themeColor="accent1" w:themeShade="7F"/>
          <w:sz w:val="24"/>
          <w:szCs w:val="24"/>
        </w:rPr>
      </w:pPr>
    </w:p>
    <w:p w14:paraId="12C21955" w14:textId="77777777" w:rsidR="00FD02D8" w:rsidRDefault="00FD02D8" w:rsidP="00FD02D8">
      <w:pPr>
        <w:rPr>
          <w:rFonts w:asciiTheme="majorHAnsi" w:eastAsiaTheme="majorEastAsia" w:hAnsiTheme="majorHAnsi" w:cstheme="majorBidi"/>
          <w:color w:val="243F60" w:themeColor="accent1" w:themeShade="7F"/>
          <w:sz w:val="24"/>
          <w:szCs w:val="24"/>
        </w:rPr>
      </w:pPr>
      <w:r>
        <w:rPr>
          <w:rFonts w:asciiTheme="majorHAnsi" w:eastAsiaTheme="majorEastAsia" w:hAnsiTheme="majorHAnsi" w:cstheme="majorBidi"/>
          <w:color w:val="243F60" w:themeColor="accent1" w:themeShade="7F"/>
          <w:sz w:val="24"/>
          <w:szCs w:val="24"/>
        </w:rPr>
        <w:t>Acknowledgements</w:t>
      </w:r>
      <w:r w:rsidRPr="006B5D7C">
        <w:rPr>
          <w:rFonts w:asciiTheme="majorHAnsi" w:eastAsiaTheme="majorEastAsia" w:hAnsiTheme="majorHAnsi" w:cstheme="majorBidi"/>
          <w:color w:val="243F60" w:themeColor="accent1" w:themeShade="7F"/>
          <w:sz w:val="24"/>
          <w:szCs w:val="24"/>
        </w:rPr>
        <w:t>:</w:t>
      </w:r>
      <w:r>
        <w:rPr>
          <w:rFonts w:asciiTheme="majorHAnsi" w:eastAsiaTheme="majorEastAsia" w:hAnsiTheme="majorHAnsi" w:cstheme="majorBidi"/>
          <w:color w:val="243F60" w:themeColor="accent1" w:themeShade="7F"/>
          <w:sz w:val="24"/>
          <w:szCs w:val="24"/>
        </w:rPr>
        <w:t xml:space="preserve"> </w:t>
      </w:r>
    </w:p>
    <w:p w14:paraId="3B5290AB" w14:textId="363ECB90" w:rsidR="00FD02D8" w:rsidRDefault="00FD02D8" w:rsidP="00FD02D8">
      <w:r>
        <w:t>Tracy Russell (Western General Hospital, Edinburgh) and Al</w:t>
      </w:r>
      <w:r w:rsidR="00792572">
        <w:t>astair</w:t>
      </w:r>
      <w:r>
        <w:t xml:space="preserve"> Duncan (Guys and St Thomas’ Hospital, London) – Co-Chairs of the BDA HIV Care Specialist Group </w:t>
      </w:r>
    </w:p>
    <w:p w14:paraId="6984D233" w14:textId="77777777" w:rsidR="00FD02D8" w:rsidRPr="00C709CF" w:rsidRDefault="00FD02D8" w:rsidP="00FD02D8">
      <w:r>
        <w:t>Nina Lenton, Karen Percy and Tracy Russell – Lead Authors of the original 2014 competency framework</w:t>
      </w:r>
    </w:p>
    <w:p w14:paraId="2780E5D1" w14:textId="77777777" w:rsidR="00FD02D8" w:rsidRDefault="00FD02D8" w:rsidP="00FD02D8">
      <w:pPr>
        <w:rPr>
          <w:rFonts w:asciiTheme="majorHAnsi" w:eastAsiaTheme="majorEastAsia" w:hAnsiTheme="majorHAnsi" w:cstheme="majorBidi"/>
          <w:color w:val="243F60" w:themeColor="accent1" w:themeShade="7F"/>
          <w:sz w:val="24"/>
          <w:szCs w:val="24"/>
        </w:rPr>
      </w:pPr>
    </w:p>
    <w:p w14:paraId="16FD3CFF" w14:textId="77777777" w:rsidR="00FD02D8" w:rsidRDefault="00FD02D8" w:rsidP="00FD02D8">
      <w:r w:rsidRPr="006B5D7C">
        <w:rPr>
          <w:rFonts w:asciiTheme="majorHAnsi" w:eastAsiaTheme="majorEastAsia" w:hAnsiTheme="majorHAnsi" w:cstheme="majorBidi"/>
          <w:color w:val="243F60" w:themeColor="accent1" w:themeShade="7F"/>
          <w:sz w:val="24"/>
          <w:szCs w:val="24"/>
        </w:rPr>
        <w:t>Publication date:</w:t>
      </w:r>
      <w:r>
        <w:t xml:space="preserve"> Awaiting publication 2023</w:t>
      </w:r>
    </w:p>
    <w:p w14:paraId="0C19D3B6" w14:textId="27F1FA0E" w:rsidR="00FD02D8" w:rsidRDefault="00FD02D8" w:rsidP="00FD02D8">
      <w:r w:rsidRPr="006B5D7C">
        <w:rPr>
          <w:rFonts w:asciiTheme="majorHAnsi" w:eastAsiaTheme="majorEastAsia" w:hAnsiTheme="majorHAnsi" w:cstheme="majorBidi"/>
          <w:color w:val="243F60" w:themeColor="accent1" w:themeShade="7F"/>
          <w:sz w:val="24"/>
          <w:szCs w:val="24"/>
        </w:rPr>
        <w:t>Review date:</w:t>
      </w:r>
      <w:r>
        <w:t xml:space="preserve"> January 202</w:t>
      </w:r>
      <w:r w:rsidR="00B7182A">
        <w:t>6</w:t>
      </w:r>
    </w:p>
    <w:p w14:paraId="000CFE1C" w14:textId="7017E5E7" w:rsidR="00350497" w:rsidRPr="000F5268" w:rsidRDefault="00FD02D8">
      <w:pPr>
        <w:spacing w:after="200" w:line="276" w:lineRule="auto"/>
        <w:rPr>
          <w:sz w:val="44"/>
          <w:szCs w:val="44"/>
        </w:rPr>
      </w:pPr>
      <w:r>
        <w:rPr>
          <w:sz w:val="44"/>
          <w:szCs w:val="44"/>
        </w:rPr>
        <w:br w:type="page"/>
      </w:r>
    </w:p>
    <w:sdt>
      <w:sdtPr>
        <w:rPr>
          <w:rFonts w:asciiTheme="minorHAnsi" w:eastAsiaTheme="minorHAnsi" w:hAnsiTheme="minorHAnsi" w:cstheme="minorBidi"/>
          <w:color w:val="auto"/>
          <w:sz w:val="22"/>
          <w:szCs w:val="22"/>
          <w:lang w:val="en-GB"/>
        </w:rPr>
        <w:id w:val="464698812"/>
        <w:docPartObj>
          <w:docPartGallery w:val="Table of Contents"/>
        </w:docPartObj>
      </w:sdtPr>
      <w:sdtEndPr>
        <w:rPr>
          <w:b/>
          <w:bCs/>
          <w:noProof/>
        </w:rPr>
      </w:sdtEndPr>
      <w:sdtContent>
        <w:p w14:paraId="2524A598" w14:textId="2C2B228C" w:rsidR="001B55CD" w:rsidRDefault="001B55CD" w:rsidP="00562CAC">
          <w:pPr>
            <w:pStyle w:val="TOCHeading"/>
          </w:pPr>
          <w:r>
            <w:t>Table of Contents</w:t>
          </w:r>
        </w:p>
        <w:p w14:paraId="3F314569" w14:textId="44BB5ADE" w:rsidR="007477B3" w:rsidRDefault="001B55CD">
          <w:pPr>
            <w:pStyle w:val="TOC1"/>
            <w:rPr>
              <w:rFonts w:eastAsiaTheme="minorEastAsia" w:cstheme="minorBidi"/>
              <w:b w:val="0"/>
              <w:bCs w:val="0"/>
              <w:i w:val="0"/>
              <w:iCs w:val="0"/>
              <w:noProof/>
              <w:sz w:val="22"/>
              <w:szCs w:val="22"/>
              <w:lang w:eastAsia="en-GB"/>
            </w:rPr>
          </w:pPr>
          <w:r>
            <w:fldChar w:fldCharType="begin"/>
          </w:r>
          <w:r>
            <w:instrText xml:space="preserve"> TOC \o "1-3" \h \z \u </w:instrText>
          </w:r>
          <w:r>
            <w:fldChar w:fldCharType="separate"/>
          </w:r>
          <w:hyperlink w:anchor="_Toc125983075" w:history="1">
            <w:r w:rsidR="007477B3" w:rsidRPr="00625B03">
              <w:rPr>
                <w:rStyle w:val="Hyperlink"/>
                <w:noProof/>
              </w:rPr>
              <w:t>1.</w:t>
            </w:r>
            <w:r w:rsidR="007477B3">
              <w:rPr>
                <w:rFonts w:eastAsiaTheme="minorEastAsia" w:cstheme="minorBidi"/>
                <w:b w:val="0"/>
                <w:bCs w:val="0"/>
                <w:i w:val="0"/>
                <w:iCs w:val="0"/>
                <w:noProof/>
                <w:sz w:val="22"/>
                <w:szCs w:val="22"/>
                <w:lang w:eastAsia="en-GB"/>
              </w:rPr>
              <w:tab/>
            </w:r>
            <w:r w:rsidR="007477B3" w:rsidRPr="00625B03">
              <w:rPr>
                <w:rStyle w:val="Hyperlink"/>
                <w:noProof/>
              </w:rPr>
              <w:t>Introduction</w:t>
            </w:r>
            <w:r w:rsidR="007477B3">
              <w:rPr>
                <w:noProof/>
                <w:webHidden/>
              </w:rPr>
              <w:tab/>
            </w:r>
            <w:r w:rsidR="007477B3">
              <w:rPr>
                <w:noProof/>
                <w:webHidden/>
              </w:rPr>
              <w:fldChar w:fldCharType="begin"/>
            </w:r>
            <w:r w:rsidR="007477B3">
              <w:rPr>
                <w:noProof/>
                <w:webHidden/>
              </w:rPr>
              <w:instrText xml:space="preserve"> PAGEREF _Toc125983075 \h </w:instrText>
            </w:r>
            <w:r w:rsidR="007477B3">
              <w:rPr>
                <w:noProof/>
                <w:webHidden/>
              </w:rPr>
            </w:r>
            <w:r w:rsidR="007477B3">
              <w:rPr>
                <w:noProof/>
                <w:webHidden/>
              </w:rPr>
              <w:fldChar w:fldCharType="separate"/>
            </w:r>
            <w:r w:rsidR="007477B3">
              <w:rPr>
                <w:noProof/>
                <w:webHidden/>
              </w:rPr>
              <w:t>1</w:t>
            </w:r>
            <w:r w:rsidR="007477B3">
              <w:rPr>
                <w:noProof/>
                <w:webHidden/>
              </w:rPr>
              <w:fldChar w:fldCharType="end"/>
            </w:r>
          </w:hyperlink>
        </w:p>
        <w:p w14:paraId="604098E5" w14:textId="38EEEBEB" w:rsidR="007477B3" w:rsidRDefault="008F309D">
          <w:pPr>
            <w:pStyle w:val="TOC2"/>
            <w:rPr>
              <w:rFonts w:eastAsiaTheme="minorEastAsia" w:cstheme="minorBidi"/>
              <w:b w:val="0"/>
              <w:bCs w:val="0"/>
              <w:noProof/>
              <w:lang w:eastAsia="en-GB"/>
            </w:rPr>
          </w:pPr>
          <w:hyperlink w:anchor="_Toc125983076" w:history="1">
            <w:r w:rsidR="007477B3" w:rsidRPr="00625B03">
              <w:rPr>
                <w:rStyle w:val="Hyperlink"/>
                <w:noProof/>
              </w:rPr>
              <w:t>1.1</w:t>
            </w:r>
            <w:r w:rsidR="007477B3">
              <w:rPr>
                <w:rFonts w:eastAsiaTheme="minorEastAsia" w:cstheme="minorBidi"/>
                <w:b w:val="0"/>
                <w:bCs w:val="0"/>
                <w:noProof/>
                <w:lang w:eastAsia="en-GB"/>
              </w:rPr>
              <w:tab/>
            </w:r>
            <w:r w:rsidR="007477B3" w:rsidRPr="00625B03">
              <w:rPr>
                <w:rStyle w:val="Hyperlink"/>
                <w:noProof/>
              </w:rPr>
              <w:t>The role of the HIV dietitian</w:t>
            </w:r>
            <w:r w:rsidR="007477B3">
              <w:rPr>
                <w:noProof/>
                <w:webHidden/>
              </w:rPr>
              <w:tab/>
            </w:r>
            <w:r w:rsidR="007477B3">
              <w:rPr>
                <w:noProof/>
                <w:webHidden/>
              </w:rPr>
              <w:fldChar w:fldCharType="begin"/>
            </w:r>
            <w:r w:rsidR="007477B3">
              <w:rPr>
                <w:noProof/>
                <w:webHidden/>
              </w:rPr>
              <w:instrText xml:space="preserve"> PAGEREF _Toc125983076 \h </w:instrText>
            </w:r>
            <w:r w:rsidR="007477B3">
              <w:rPr>
                <w:noProof/>
                <w:webHidden/>
              </w:rPr>
            </w:r>
            <w:r w:rsidR="007477B3">
              <w:rPr>
                <w:noProof/>
                <w:webHidden/>
              </w:rPr>
              <w:fldChar w:fldCharType="separate"/>
            </w:r>
            <w:r w:rsidR="007477B3">
              <w:rPr>
                <w:noProof/>
                <w:webHidden/>
              </w:rPr>
              <w:t>1</w:t>
            </w:r>
            <w:r w:rsidR="007477B3">
              <w:rPr>
                <w:noProof/>
                <w:webHidden/>
              </w:rPr>
              <w:fldChar w:fldCharType="end"/>
            </w:r>
          </w:hyperlink>
        </w:p>
        <w:p w14:paraId="29367B89" w14:textId="01087070" w:rsidR="007477B3" w:rsidRDefault="008F309D">
          <w:pPr>
            <w:pStyle w:val="TOC2"/>
            <w:rPr>
              <w:rFonts w:eastAsiaTheme="minorEastAsia" w:cstheme="minorBidi"/>
              <w:b w:val="0"/>
              <w:bCs w:val="0"/>
              <w:noProof/>
              <w:lang w:eastAsia="en-GB"/>
            </w:rPr>
          </w:pPr>
          <w:hyperlink w:anchor="_Toc125983077" w:history="1">
            <w:r w:rsidR="007477B3" w:rsidRPr="00625B03">
              <w:rPr>
                <w:rStyle w:val="Hyperlink"/>
                <w:noProof/>
              </w:rPr>
              <w:t>1.2</w:t>
            </w:r>
            <w:r w:rsidR="007477B3">
              <w:rPr>
                <w:rFonts w:eastAsiaTheme="minorEastAsia" w:cstheme="minorBidi"/>
                <w:b w:val="0"/>
                <w:bCs w:val="0"/>
                <w:noProof/>
                <w:lang w:eastAsia="en-GB"/>
              </w:rPr>
              <w:tab/>
            </w:r>
            <w:r w:rsidR="007477B3" w:rsidRPr="00625B03">
              <w:rPr>
                <w:rStyle w:val="Hyperlink"/>
                <w:noProof/>
              </w:rPr>
              <w:t>The Purpose of the Competency and Skills Framework</w:t>
            </w:r>
            <w:r w:rsidR="007477B3">
              <w:rPr>
                <w:noProof/>
                <w:webHidden/>
              </w:rPr>
              <w:tab/>
            </w:r>
            <w:r w:rsidR="007477B3">
              <w:rPr>
                <w:noProof/>
                <w:webHidden/>
              </w:rPr>
              <w:fldChar w:fldCharType="begin"/>
            </w:r>
            <w:r w:rsidR="007477B3">
              <w:rPr>
                <w:noProof/>
                <w:webHidden/>
              </w:rPr>
              <w:instrText xml:space="preserve"> PAGEREF _Toc125983077 \h </w:instrText>
            </w:r>
            <w:r w:rsidR="007477B3">
              <w:rPr>
                <w:noProof/>
                <w:webHidden/>
              </w:rPr>
            </w:r>
            <w:r w:rsidR="007477B3">
              <w:rPr>
                <w:noProof/>
                <w:webHidden/>
              </w:rPr>
              <w:fldChar w:fldCharType="separate"/>
            </w:r>
            <w:r w:rsidR="007477B3">
              <w:rPr>
                <w:noProof/>
                <w:webHidden/>
              </w:rPr>
              <w:t>1</w:t>
            </w:r>
            <w:r w:rsidR="007477B3">
              <w:rPr>
                <w:noProof/>
                <w:webHidden/>
              </w:rPr>
              <w:fldChar w:fldCharType="end"/>
            </w:r>
          </w:hyperlink>
        </w:p>
        <w:p w14:paraId="2A2DF14A" w14:textId="30AEDD95" w:rsidR="007477B3" w:rsidRDefault="008F309D">
          <w:pPr>
            <w:pStyle w:val="TOC2"/>
            <w:rPr>
              <w:rFonts w:eastAsiaTheme="minorEastAsia" w:cstheme="minorBidi"/>
              <w:b w:val="0"/>
              <w:bCs w:val="0"/>
              <w:noProof/>
              <w:lang w:eastAsia="en-GB"/>
            </w:rPr>
          </w:pPr>
          <w:hyperlink w:anchor="_Toc125983078" w:history="1">
            <w:r w:rsidR="007477B3" w:rsidRPr="00625B03">
              <w:rPr>
                <w:rStyle w:val="Hyperlink"/>
                <w:noProof/>
              </w:rPr>
              <w:t>1.3</w:t>
            </w:r>
            <w:r w:rsidR="007477B3">
              <w:rPr>
                <w:rFonts w:eastAsiaTheme="minorEastAsia" w:cstheme="minorBidi"/>
                <w:b w:val="0"/>
                <w:bCs w:val="0"/>
                <w:noProof/>
                <w:lang w:eastAsia="en-GB"/>
              </w:rPr>
              <w:tab/>
            </w:r>
            <w:r w:rsidR="007477B3" w:rsidRPr="00625B03">
              <w:rPr>
                <w:rStyle w:val="Hyperlink"/>
                <w:noProof/>
              </w:rPr>
              <w:t>Significant updates</w:t>
            </w:r>
            <w:r w:rsidR="007477B3">
              <w:rPr>
                <w:noProof/>
                <w:webHidden/>
              </w:rPr>
              <w:tab/>
            </w:r>
            <w:r w:rsidR="007477B3">
              <w:rPr>
                <w:noProof/>
                <w:webHidden/>
              </w:rPr>
              <w:fldChar w:fldCharType="begin"/>
            </w:r>
            <w:r w:rsidR="007477B3">
              <w:rPr>
                <w:noProof/>
                <w:webHidden/>
              </w:rPr>
              <w:instrText xml:space="preserve"> PAGEREF _Toc125983078 \h </w:instrText>
            </w:r>
            <w:r w:rsidR="007477B3">
              <w:rPr>
                <w:noProof/>
                <w:webHidden/>
              </w:rPr>
            </w:r>
            <w:r w:rsidR="007477B3">
              <w:rPr>
                <w:noProof/>
                <w:webHidden/>
              </w:rPr>
              <w:fldChar w:fldCharType="separate"/>
            </w:r>
            <w:r w:rsidR="007477B3">
              <w:rPr>
                <w:noProof/>
                <w:webHidden/>
              </w:rPr>
              <w:t>2</w:t>
            </w:r>
            <w:r w:rsidR="007477B3">
              <w:rPr>
                <w:noProof/>
                <w:webHidden/>
              </w:rPr>
              <w:fldChar w:fldCharType="end"/>
            </w:r>
          </w:hyperlink>
        </w:p>
        <w:p w14:paraId="3F8E7867" w14:textId="474CE927" w:rsidR="007477B3" w:rsidRDefault="008F309D">
          <w:pPr>
            <w:pStyle w:val="TOC2"/>
            <w:rPr>
              <w:rFonts w:eastAsiaTheme="minorEastAsia" w:cstheme="minorBidi"/>
              <w:b w:val="0"/>
              <w:bCs w:val="0"/>
              <w:noProof/>
              <w:lang w:eastAsia="en-GB"/>
            </w:rPr>
          </w:pPr>
          <w:hyperlink w:anchor="_Toc125983079" w:history="1">
            <w:r w:rsidR="007477B3" w:rsidRPr="00625B03">
              <w:rPr>
                <w:rStyle w:val="Hyperlink"/>
                <w:noProof/>
              </w:rPr>
              <w:t>1.4</w:t>
            </w:r>
            <w:r w:rsidR="007477B3">
              <w:rPr>
                <w:rFonts w:eastAsiaTheme="minorEastAsia" w:cstheme="minorBidi"/>
                <w:b w:val="0"/>
                <w:bCs w:val="0"/>
                <w:noProof/>
                <w:lang w:eastAsia="en-GB"/>
              </w:rPr>
              <w:tab/>
            </w:r>
            <w:r w:rsidR="007477B3" w:rsidRPr="00625B03">
              <w:rPr>
                <w:rStyle w:val="Hyperlink"/>
                <w:noProof/>
              </w:rPr>
              <w:t>How to use this document</w:t>
            </w:r>
            <w:r w:rsidR="007477B3">
              <w:rPr>
                <w:noProof/>
                <w:webHidden/>
              </w:rPr>
              <w:tab/>
            </w:r>
            <w:r w:rsidR="007477B3">
              <w:rPr>
                <w:noProof/>
                <w:webHidden/>
              </w:rPr>
              <w:fldChar w:fldCharType="begin"/>
            </w:r>
            <w:r w:rsidR="007477B3">
              <w:rPr>
                <w:noProof/>
                <w:webHidden/>
              </w:rPr>
              <w:instrText xml:space="preserve"> PAGEREF _Toc125983079 \h </w:instrText>
            </w:r>
            <w:r w:rsidR="007477B3">
              <w:rPr>
                <w:noProof/>
                <w:webHidden/>
              </w:rPr>
            </w:r>
            <w:r w:rsidR="007477B3">
              <w:rPr>
                <w:noProof/>
                <w:webHidden/>
              </w:rPr>
              <w:fldChar w:fldCharType="separate"/>
            </w:r>
            <w:r w:rsidR="007477B3">
              <w:rPr>
                <w:noProof/>
                <w:webHidden/>
              </w:rPr>
              <w:t>3</w:t>
            </w:r>
            <w:r w:rsidR="007477B3">
              <w:rPr>
                <w:noProof/>
                <w:webHidden/>
              </w:rPr>
              <w:fldChar w:fldCharType="end"/>
            </w:r>
          </w:hyperlink>
        </w:p>
        <w:p w14:paraId="57ADDD0F" w14:textId="5480F934" w:rsidR="007477B3" w:rsidRDefault="008F309D">
          <w:pPr>
            <w:pStyle w:val="TOC2"/>
            <w:rPr>
              <w:rFonts w:eastAsiaTheme="minorEastAsia" w:cstheme="minorBidi"/>
              <w:b w:val="0"/>
              <w:bCs w:val="0"/>
              <w:noProof/>
              <w:lang w:eastAsia="en-GB"/>
            </w:rPr>
          </w:pPr>
          <w:hyperlink w:anchor="_Toc125983080" w:history="1">
            <w:r w:rsidR="007477B3" w:rsidRPr="00625B03">
              <w:rPr>
                <w:rStyle w:val="Hyperlink"/>
                <w:noProof/>
              </w:rPr>
              <w:t>1.5</w:t>
            </w:r>
            <w:r w:rsidR="007477B3">
              <w:rPr>
                <w:rFonts w:eastAsiaTheme="minorEastAsia" w:cstheme="minorBidi"/>
                <w:b w:val="0"/>
                <w:bCs w:val="0"/>
                <w:noProof/>
                <w:lang w:eastAsia="en-GB"/>
              </w:rPr>
              <w:tab/>
            </w:r>
            <w:r w:rsidR="007477B3" w:rsidRPr="00625B03">
              <w:rPr>
                <w:rStyle w:val="Hyperlink"/>
                <w:noProof/>
              </w:rPr>
              <w:t>Advancing Level of Capability: Entry, Enhanced, Advanced, Consultant</w:t>
            </w:r>
            <w:r w:rsidR="007477B3">
              <w:rPr>
                <w:noProof/>
                <w:webHidden/>
              </w:rPr>
              <w:tab/>
            </w:r>
            <w:r w:rsidR="007477B3">
              <w:rPr>
                <w:noProof/>
                <w:webHidden/>
              </w:rPr>
              <w:fldChar w:fldCharType="begin"/>
            </w:r>
            <w:r w:rsidR="007477B3">
              <w:rPr>
                <w:noProof/>
                <w:webHidden/>
              </w:rPr>
              <w:instrText xml:space="preserve"> PAGEREF _Toc125983080 \h </w:instrText>
            </w:r>
            <w:r w:rsidR="007477B3">
              <w:rPr>
                <w:noProof/>
                <w:webHidden/>
              </w:rPr>
            </w:r>
            <w:r w:rsidR="007477B3">
              <w:rPr>
                <w:noProof/>
                <w:webHidden/>
              </w:rPr>
              <w:fldChar w:fldCharType="separate"/>
            </w:r>
            <w:r w:rsidR="007477B3">
              <w:rPr>
                <w:noProof/>
                <w:webHidden/>
              </w:rPr>
              <w:t>4</w:t>
            </w:r>
            <w:r w:rsidR="007477B3">
              <w:rPr>
                <w:noProof/>
                <w:webHidden/>
              </w:rPr>
              <w:fldChar w:fldCharType="end"/>
            </w:r>
          </w:hyperlink>
        </w:p>
        <w:p w14:paraId="440679E4" w14:textId="2B38756F" w:rsidR="007477B3" w:rsidRDefault="008F309D">
          <w:pPr>
            <w:pStyle w:val="TOC1"/>
            <w:rPr>
              <w:rFonts w:eastAsiaTheme="minorEastAsia" w:cstheme="minorBidi"/>
              <w:b w:val="0"/>
              <w:bCs w:val="0"/>
              <w:i w:val="0"/>
              <w:iCs w:val="0"/>
              <w:noProof/>
              <w:sz w:val="22"/>
              <w:szCs w:val="22"/>
              <w:lang w:eastAsia="en-GB"/>
            </w:rPr>
          </w:pPr>
          <w:hyperlink w:anchor="_Toc125983081" w:history="1">
            <w:r w:rsidR="007477B3" w:rsidRPr="00625B03">
              <w:rPr>
                <w:rStyle w:val="Hyperlink"/>
                <w:noProof/>
              </w:rPr>
              <w:t>2.</w:t>
            </w:r>
            <w:r w:rsidR="007477B3">
              <w:rPr>
                <w:rFonts w:eastAsiaTheme="minorEastAsia" w:cstheme="minorBidi"/>
                <w:b w:val="0"/>
                <w:bCs w:val="0"/>
                <w:i w:val="0"/>
                <w:iCs w:val="0"/>
                <w:noProof/>
                <w:sz w:val="22"/>
                <w:szCs w:val="22"/>
                <w:lang w:eastAsia="en-GB"/>
              </w:rPr>
              <w:tab/>
            </w:r>
            <w:r w:rsidR="007477B3" w:rsidRPr="00625B03">
              <w:rPr>
                <w:rStyle w:val="Hyperlink"/>
                <w:noProof/>
              </w:rPr>
              <w:t>Competency Framework Tables</w:t>
            </w:r>
            <w:r w:rsidR="007477B3">
              <w:rPr>
                <w:noProof/>
                <w:webHidden/>
              </w:rPr>
              <w:tab/>
            </w:r>
            <w:r w:rsidR="007477B3">
              <w:rPr>
                <w:noProof/>
                <w:webHidden/>
              </w:rPr>
              <w:fldChar w:fldCharType="begin"/>
            </w:r>
            <w:r w:rsidR="007477B3">
              <w:rPr>
                <w:noProof/>
                <w:webHidden/>
              </w:rPr>
              <w:instrText xml:space="preserve"> PAGEREF _Toc125983081 \h </w:instrText>
            </w:r>
            <w:r w:rsidR="007477B3">
              <w:rPr>
                <w:noProof/>
                <w:webHidden/>
              </w:rPr>
            </w:r>
            <w:r w:rsidR="007477B3">
              <w:rPr>
                <w:noProof/>
                <w:webHidden/>
              </w:rPr>
              <w:fldChar w:fldCharType="separate"/>
            </w:r>
            <w:r w:rsidR="007477B3">
              <w:rPr>
                <w:noProof/>
                <w:webHidden/>
              </w:rPr>
              <w:t>6</w:t>
            </w:r>
            <w:r w:rsidR="007477B3">
              <w:rPr>
                <w:noProof/>
                <w:webHidden/>
              </w:rPr>
              <w:fldChar w:fldCharType="end"/>
            </w:r>
          </w:hyperlink>
        </w:p>
        <w:p w14:paraId="477EF9D1" w14:textId="45F1296E" w:rsidR="007477B3" w:rsidRDefault="008F309D">
          <w:pPr>
            <w:pStyle w:val="TOC2"/>
            <w:rPr>
              <w:rFonts w:eastAsiaTheme="minorEastAsia" w:cstheme="minorBidi"/>
              <w:b w:val="0"/>
              <w:bCs w:val="0"/>
              <w:noProof/>
              <w:lang w:eastAsia="en-GB"/>
            </w:rPr>
          </w:pPr>
          <w:hyperlink w:anchor="_Toc125983082" w:history="1">
            <w:r w:rsidR="007477B3" w:rsidRPr="00625B03">
              <w:rPr>
                <w:rStyle w:val="Hyperlink"/>
                <w:noProof/>
              </w:rPr>
              <w:t>2.1</w:t>
            </w:r>
            <w:r w:rsidR="007477B3">
              <w:rPr>
                <w:rFonts w:eastAsiaTheme="minorEastAsia" w:cstheme="minorBidi"/>
                <w:b w:val="0"/>
                <w:bCs w:val="0"/>
                <w:noProof/>
                <w:lang w:eastAsia="en-GB"/>
              </w:rPr>
              <w:tab/>
            </w:r>
            <w:r w:rsidR="007477B3" w:rsidRPr="00625B03">
              <w:rPr>
                <w:rStyle w:val="Hyperlink"/>
                <w:noProof/>
              </w:rPr>
              <w:t>HIV pathophysiology, epidemiology &amp; clinical guidelines</w:t>
            </w:r>
            <w:r w:rsidR="007477B3">
              <w:rPr>
                <w:noProof/>
                <w:webHidden/>
              </w:rPr>
              <w:tab/>
            </w:r>
            <w:r w:rsidR="007477B3">
              <w:rPr>
                <w:noProof/>
                <w:webHidden/>
              </w:rPr>
              <w:fldChar w:fldCharType="begin"/>
            </w:r>
            <w:r w:rsidR="007477B3">
              <w:rPr>
                <w:noProof/>
                <w:webHidden/>
              </w:rPr>
              <w:instrText xml:space="preserve"> PAGEREF _Toc125983082 \h </w:instrText>
            </w:r>
            <w:r w:rsidR="007477B3">
              <w:rPr>
                <w:noProof/>
                <w:webHidden/>
              </w:rPr>
            </w:r>
            <w:r w:rsidR="007477B3">
              <w:rPr>
                <w:noProof/>
                <w:webHidden/>
              </w:rPr>
              <w:fldChar w:fldCharType="separate"/>
            </w:r>
            <w:r w:rsidR="007477B3">
              <w:rPr>
                <w:noProof/>
                <w:webHidden/>
              </w:rPr>
              <w:t>6</w:t>
            </w:r>
            <w:r w:rsidR="007477B3">
              <w:rPr>
                <w:noProof/>
                <w:webHidden/>
              </w:rPr>
              <w:fldChar w:fldCharType="end"/>
            </w:r>
          </w:hyperlink>
        </w:p>
        <w:p w14:paraId="6D42A688" w14:textId="4C027211" w:rsidR="007477B3" w:rsidRDefault="008F309D">
          <w:pPr>
            <w:pStyle w:val="TOC2"/>
            <w:rPr>
              <w:rFonts w:eastAsiaTheme="minorEastAsia" w:cstheme="minorBidi"/>
              <w:b w:val="0"/>
              <w:bCs w:val="0"/>
              <w:noProof/>
              <w:lang w:eastAsia="en-GB"/>
            </w:rPr>
          </w:pPr>
          <w:hyperlink w:anchor="_Toc125983083" w:history="1">
            <w:r w:rsidR="007477B3" w:rsidRPr="00625B03">
              <w:rPr>
                <w:rStyle w:val="Hyperlink"/>
                <w:noProof/>
              </w:rPr>
              <w:t>2.2</w:t>
            </w:r>
            <w:r w:rsidR="007477B3">
              <w:rPr>
                <w:rFonts w:eastAsiaTheme="minorEastAsia" w:cstheme="minorBidi"/>
                <w:b w:val="0"/>
                <w:bCs w:val="0"/>
                <w:noProof/>
                <w:lang w:eastAsia="en-GB"/>
              </w:rPr>
              <w:tab/>
            </w:r>
            <w:r w:rsidR="007477B3" w:rsidRPr="00625B03">
              <w:rPr>
                <w:rStyle w:val="Hyperlink"/>
                <w:noProof/>
              </w:rPr>
              <w:t>Social, economic and psychological needs of PLHIV</w:t>
            </w:r>
            <w:r w:rsidR="007477B3">
              <w:rPr>
                <w:noProof/>
                <w:webHidden/>
              </w:rPr>
              <w:tab/>
            </w:r>
            <w:r w:rsidR="007477B3">
              <w:rPr>
                <w:noProof/>
                <w:webHidden/>
              </w:rPr>
              <w:fldChar w:fldCharType="begin"/>
            </w:r>
            <w:r w:rsidR="007477B3">
              <w:rPr>
                <w:noProof/>
                <w:webHidden/>
              </w:rPr>
              <w:instrText xml:space="preserve"> PAGEREF _Toc125983083 \h </w:instrText>
            </w:r>
            <w:r w:rsidR="007477B3">
              <w:rPr>
                <w:noProof/>
                <w:webHidden/>
              </w:rPr>
            </w:r>
            <w:r w:rsidR="007477B3">
              <w:rPr>
                <w:noProof/>
                <w:webHidden/>
              </w:rPr>
              <w:fldChar w:fldCharType="separate"/>
            </w:r>
            <w:r w:rsidR="007477B3">
              <w:rPr>
                <w:noProof/>
                <w:webHidden/>
              </w:rPr>
              <w:t>7</w:t>
            </w:r>
            <w:r w:rsidR="007477B3">
              <w:rPr>
                <w:noProof/>
                <w:webHidden/>
              </w:rPr>
              <w:fldChar w:fldCharType="end"/>
            </w:r>
          </w:hyperlink>
        </w:p>
        <w:p w14:paraId="30FBA6EB" w14:textId="643607BD" w:rsidR="007477B3" w:rsidRDefault="008F309D">
          <w:pPr>
            <w:pStyle w:val="TOC2"/>
            <w:rPr>
              <w:rFonts w:eastAsiaTheme="minorEastAsia" w:cstheme="minorBidi"/>
              <w:b w:val="0"/>
              <w:bCs w:val="0"/>
              <w:noProof/>
              <w:lang w:eastAsia="en-GB"/>
            </w:rPr>
          </w:pPr>
          <w:hyperlink w:anchor="_Toc125983084" w:history="1">
            <w:r w:rsidR="007477B3" w:rsidRPr="00625B03">
              <w:rPr>
                <w:rStyle w:val="Hyperlink"/>
                <w:noProof/>
              </w:rPr>
              <w:t>2.3</w:t>
            </w:r>
            <w:r w:rsidR="007477B3">
              <w:rPr>
                <w:rFonts w:eastAsiaTheme="minorEastAsia" w:cstheme="minorBidi"/>
                <w:b w:val="0"/>
                <w:bCs w:val="0"/>
                <w:noProof/>
                <w:lang w:eastAsia="en-GB"/>
              </w:rPr>
              <w:tab/>
            </w:r>
            <w:r w:rsidR="007477B3" w:rsidRPr="00625B03">
              <w:rPr>
                <w:rStyle w:val="Hyperlink"/>
                <w:noProof/>
              </w:rPr>
              <w:t>Key population groups</w:t>
            </w:r>
            <w:r w:rsidR="007477B3">
              <w:rPr>
                <w:noProof/>
                <w:webHidden/>
              </w:rPr>
              <w:tab/>
            </w:r>
            <w:r w:rsidR="007477B3">
              <w:rPr>
                <w:noProof/>
                <w:webHidden/>
              </w:rPr>
              <w:fldChar w:fldCharType="begin"/>
            </w:r>
            <w:r w:rsidR="007477B3">
              <w:rPr>
                <w:noProof/>
                <w:webHidden/>
              </w:rPr>
              <w:instrText xml:space="preserve"> PAGEREF _Toc125983084 \h </w:instrText>
            </w:r>
            <w:r w:rsidR="007477B3">
              <w:rPr>
                <w:noProof/>
                <w:webHidden/>
              </w:rPr>
            </w:r>
            <w:r w:rsidR="007477B3">
              <w:rPr>
                <w:noProof/>
                <w:webHidden/>
              </w:rPr>
              <w:fldChar w:fldCharType="separate"/>
            </w:r>
            <w:r w:rsidR="007477B3">
              <w:rPr>
                <w:noProof/>
                <w:webHidden/>
              </w:rPr>
              <w:t>9</w:t>
            </w:r>
            <w:r w:rsidR="007477B3">
              <w:rPr>
                <w:noProof/>
                <w:webHidden/>
              </w:rPr>
              <w:fldChar w:fldCharType="end"/>
            </w:r>
          </w:hyperlink>
        </w:p>
        <w:p w14:paraId="413F546C" w14:textId="32AFABB9" w:rsidR="007477B3" w:rsidRDefault="008F309D">
          <w:pPr>
            <w:pStyle w:val="TOC2"/>
            <w:rPr>
              <w:rFonts w:eastAsiaTheme="minorEastAsia" w:cstheme="minorBidi"/>
              <w:b w:val="0"/>
              <w:bCs w:val="0"/>
              <w:noProof/>
              <w:lang w:eastAsia="en-GB"/>
            </w:rPr>
          </w:pPr>
          <w:hyperlink w:anchor="_Toc125983085" w:history="1">
            <w:r w:rsidR="007477B3" w:rsidRPr="00625B03">
              <w:rPr>
                <w:rStyle w:val="Hyperlink"/>
                <w:noProof/>
              </w:rPr>
              <w:t>2.4</w:t>
            </w:r>
            <w:r w:rsidR="007477B3">
              <w:rPr>
                <w:rFonts w:eastAsiaTheme="minorEastAsia" w:cstheme="minorBidi"/>
                <w:b w:val="0"/>
                <w:bCs w:val="0"/>
                <w:noProof/>
                <w:lang w:eastAsia="en-GB"/>
              </w:rPr>
              <w:tab/>
            </w:r>
            <w:r w:rsidR="007477B3" w:rsidRPr="00625B03">
              <w:rPr>
                <w:rStyle w:val="Hyperlink"/>
                <w:noProof/>
              </w:rPr>
              <w:t>Comorbidities</w:t>
            </w:r>
            <w:r w:rsidR="007477B3">
              <w:rPr>
                <w:noProof/>
                <w:webHidden/>
              </w:rPr>
              <w:tab/>
            </w:r>
            <w:r w:rsidR="007477B3">
              <w:rPr>
                <w:noProof/>
                <w:webHidden/>
              </w:rPr>
              <w:fldChar w:fldCharType="begin"/>
            </w:r>
            <w:r w:rsidR="007477B3">
              <w:rPr>
                <w:noProof/>
                <w:webHidden/>
              </w:rPr>
              <w:instrText xml:space="preserve"> PAGEREF _Toc125983085 \h </w:instrText>
            </w:r>
            <w:r w:rsidR="007477B3">
              <w:rPr>
                <w:noProof/>
                <w:webHidden/>
              </w:rPr>
            </w:r>
            <w:r w:rsidR="007477B3">
              <w:rPr>
                <w:noProof/>
                <w:webHidden/>
              </w:rPr>
              <w:fldChar w:fldCharType="separate"/>
            </w:r>
            <w:r w:rsidR="007477B3">
              <w:rPr>
                <w:noProof/>
                <w:webHidden/>
              </w:rPr>
              <w:t>11</w:t>
            </w:r>
            <w:r w:rsidR="007477B3">
              <w:rPr>
                <w:noProof/>
                <w:webHidden/>
              </w:rPr>
              <w:fldChar w:fldCharType="end"/>
            </w:r>
          </w:hyperlink>
        </w:p>
        <w:p w14:paraId="35967EEA" w14:textId="76F495B0" w:rsidR="007477B3" w:rsidRDefault="008F309D">
          <w:pPr>
            <w:pStyle w:val="TOC3"/>
            <w:tabs>
              <w:tab w:val="left" w:pos="1100"/>
              <w:tab w:val="right" w:leader="dot" w:pos="13948"/>
            </w:tabs>
            <w:rPr>
              <w:rFonts w:eastAsiaTheme="minorEastAsia" w:cstheme="minorBidi"/>
              <w:noProof/>
              <w:sz w:val="22"/>
              <w:szCs w:val="22"/>
              <w:lang w:eastAsia="en-GB"/>
            </w:rPr>
          </w:pPr>
          <w:hyperlink w:anchor="_Toc125983086" w:history="1">
            <w:r w:rsidR="007477B3" w:rsidRPr="00625B03">
              <w:rPr>
                <w:rStyle w:val="Hyperlink"/>
                <w:noProof/>
              </w:rPr>
              <w:t>2.4.1</w:t>
            </w:r>
            <w:r w:rsidR="007477B3">
              <w:rPr>
                <w:rFonts w:eastAsiaTheme="minorEastAsia" w:cstheme="minorBidi"/>
                <w:noProof/>
                <w:sz w:val="22"/>
                <w:szCs w:val="22"/>
                <w:lang w:eastAsia="en-GB"/>
              </w:rPr>
              <w:tab/>
            </w:r>
            <w:r w:rsidR="007477B3" w:rsidRPr="00625B03">
              <w:rPr>
                <w:rStyle w:val="Hyperlink"/>
                <w:i/>
                <w:iCs/>
                <w:noProof/>
              </w:rPr>
              <w:t>Obesity</w:t>
            </w:r>
            <w:r w:rsidR="007477B3">
              <w:rPr>
                <w:noProof/>
                <w:webHidden/>
              </w:rPr>
              <w:tab/>
            </w:r>
            <w:r w:rsidR="007477B3">
              <w:rPr>
                <w:noProof/>
                <w:webHidden/>
              </w:rPr>
              <w:fldChar w:fldCharType="begin"/>
            </w:r>
            <w:r w:rsidR="007477B3">
              <w:rPr>
                <w:noProof/>
                <w:webHidden/>
              </w:rPr>
              <w:instrText xml:space="preserve"> PAGEREF _Toc125983086 \h </w:instrText>
            </w:r>
            <w:r w:rsidR="007477B3">
              <w:rPr>
                <w:noProof/>
                <w:webHidden/>
              </w:rPr>
            </w:r>
            <w:r w:rsidR="007477B3">
              <w:rPr>
                <w:noProof/>
                <w:webHidden/>
              </w:rPr>
              <w:fldChar w:fldCharType="separate"/>
            </w:r>
            <w:r w:rsidR="007477B3">
              <w:rPr>
                <w:noProof/>
                <w:webHidden/>
              </w:rPr>
              <w:t>11</w:t>
            </w:r>
            <w:r w:rsidR="007477B3">
              <w:rPr>
                <w:noProof/>
                <w:webHidden/>
              </w:rPr>
              <w:fldChar w:fldCharType="end"/>
            </w:r>
          </w:hyperlink>
        </w:p>
        <w:p w14:paraId="698F9C04" w14:textId="724A706D" w:rsidR="007477B3" w:rsidRDefault="008F309D">
          <w:pPr>
            <w:pStyle w:val="TOC3"/>
            <w:tabs>
              <w:tab w:val="left" w:pos="1100"/>
              <w:tab w:val="right" w:leader="dot" w:pos="13948"/>
            </w:tabs>
            <w:rPr>
              <w:rFonts w:eastAsiaTheme="minorEastAsia" w:cstheme="minorBidi"/>
              <w:noProof/>
              <w:sz w:val="22"/>
              <w:szCs w:val="22"/>
              <w:lang w:eastAsia="en-GB"/>
            </w:rPr>
          </w:pPr>
          <w:hyperlink w:anchor="_Toc125983087" w:history="1">
            <w:r w:rsidR="007477B3" w:rsidRPr="00625B03">
              <w:rPr>
                <w:rStyle w:val="Hyperlink"/>
                <w:i/>
                <w:iCs/>
                <w:noProof/>
              </w:rPr>
              <w:t>2.4.2</w:t>
            </w:r>
            <w:r w:rsidR="007477B3">
              <w:rPr>
                <w:rFonts w:eastAsiaTheme="minorEastAsia" w:cstheme="minorBidi"/>
                <w:noProof/>
                <w:sz w:val="22"/>
                <w:szCs w:val="22"/>
                <w:lang w:eastAsia="en-GB"/>
              </w:rPr>
              <w:tab/>
            </w:r>
            <w:r w:rsidR="007477B3" w:rsidRPr="00625B03">
              <w:rPr>
                <w:rStyle w:val="Hyperlink"/>
                <w:i/>
                <w:iCs/>
                <w:noProof/>
              </w:rPr>
              <w:t>Lipodystrophy</w:t>
            </w:r>
            <w:r w:rsidR="007477B3">
              <w:rPr>
                <w:noProof/>
                <w:webHidden/>
              </w:rPr>
              <w:tab/>
            </w:r>
            <w:r w:rsidR="007477B3">
              <w:rPr>
                <w:noProof/>
                <w:webHidden/>
              </w:rPr>
              <w:fldChar w:fldCharType="begin"/>
            </w:r>
            <w:r w:rsidR="007477B3">
              <w:rPr>
                <w:noProof/>
                <w:webHidden/>
              </w:rPr>
              <w:instrText xml:space="preserve"> PAGEREF _Toc125983087 \h </w:instrText>
            </w:r>
            <w:r w:rsidR="007477B3">
              <w:rPr>
                <w:noProof/>
                <w:webHidden/>
              </w:rPr>
            </w:r>
            <w:r w:rsidR="007477B3">
              <w:rPr>
                <w:noProof/>
                <w:webHidden/>
              </w:rPr>
              <w:fldChar w:fldCharType="separate"/>
            </w:r>
            <w:r w:rsidR="007477B3">
              <w:rPr>
                <w:noProof/>
                <w:webHidden/>
              </w:rPr>
              <w:t>12</w:t>
            </w:r>
            <w:r w:rsidR="007477B3">
              <w:rPr>
                <w:noProof/>
                <w:webHidden/>
              </w:rPr>
              <w:fldChar w:fldCharType="end"/>
            </w:r>
          </w:hyperlink>
        </w:p>
        <w:p w14:paraId="45612A75" w14:textId="4C3C1369" w:rsidR="007477B3" w:rsidRDefault="008F309D">
          <w:pPr>
            <w:pStyle w:val="TOC3"/>
            <w:tabs>
              <w:tab w:val="left" w:pos="1100"/>
              <w:tab w:val="right" w:leader="dot" w:pos="13948"/>
            </w:tabs>
            <w:rPr>
              <w:rFonts w:eastAsiaTheme="minorEastAsia" w:cstheme="minorBidi"/>
              <w:noProof/>
              <w:sz w:val="22"/>
              <w:szCs w:val="22"/>
              <w:lang w:eastAsia="en-GB"/>
            </w:rPr>
          </w:pPr>
          <w:hyperlink w:anchor="_Toc125983088" w:history="1">
            <w:r w:rsidR="007477B3" w:rsidRPr="00625B03">
              <w:rPr>
                <w:rStyle w:val="Hyperlink"/>
                <w:i/>
                <w:iCs/>
                <w:noProof/>
              </w:rPr>
              <w:t>2.4.3</w:t>
            </w:r>
            <w:r w:rsidR="007477B3">
              <w:rPr>
                <w:rFonts w:eastAsiaTheme="minorEastAsia" w:cstheme="minorBidi"/>
                <w:noProof/>
                <w:sz w:val="22"/>
                <w:szCs w:val="22"/>
                <w:lang w:eastAsia="en-GB"/>
              </w:rPr>
              <w:tab/>
            </w:r>
            <w:r w:rsidR="007477B3" w:rsidRPr="00625B03">
              <w:rPr>
                <w:rStyle w:val="Hyperlink"/>
                <w:i/>
                <w:iCs/>
                <w:noProof/>
              </w:rPr>
              <w:t>Impaired glucose tolerance, Diabetes mellitus and metabolic syndrome</w:t>
            </w:r>
            <w:r w:rsidR="007477B3">
              <w:rPr>
                <w:noProof/>
                <w:webHidden/>
              </w:rPr>
              <w:tab/>
            </w:r>
            <w:r w:rsidR="007477B3">
              <w:rPr>
                <w:noProof/>
                <w:webHidden/>
              </w:rPr>
              <w:fldChar w:fldCharType="begin"/>
            </w:r>
            <w:r w:rsidR="007477B3">
              <w:rPr>
                <w:noProof/>
                <w:webHidden/>
              </w:rPr>
              <w:instrText xml:space="preserve"> PAGEREF _Toc125983088 \h </w:instrText>
            </w:r>
            <w:r w:rsidR="007477B3">
              <w:rPr>
                <w:noProof/>
                <w:webHidden/>
              </w:rPr>
            </w:r>
            <w:r w:rsidR="007477B3">
              <w:rPr>
                <w:noProof/>
                <w:webHidden/>
              </w:rPr>
              <w:fldChar w:fldCharType="separate"/>
            </w:r>
            <w:r w:rsidR="007477B3">
              <w:rPr>
                <w:noProof/>
                <w:webHidden/>
              </w:rPr>
              <w:t>13</w:t>
            </w:r>
            <w:r w:rsidR="007477B3">
              <w:rPr>
                <w:noProof/>
                <w:webHidden/>
              </w:rPr>
              <w:fldChar w:fldCharType="end"/>
            </w:r>
          </w:hyperlink>
        </w:p>
        <w:p w14:paraId="3BA69EA6" w14:textId="224F00BE" w:rsidR="007477B3" w:rsidRDefault="008F309D">
          <w:pPr>
            <w:pStyle w:val="TOC3"/>
            <w:tabs>
              <w:tab w:val="left" w:pos="1100"/>
              <w:tab w:val="right" w:leader="dot" w:pos="13948"/>
            </w:tabs>
            <w:rPr>
              <w:rFonts w:eastAsiaTheme="minorEastAsia" w:cstheme="minorBidi"/>
              <w:noProof/>
              <w:sz w:val="22"/>
              <w:szCs w:val="22"/>
              <w:lang w:eastAsia="en-GB"/>
            </w:rPr>
          </w:pPr>
          <w:hyperlink w:anchor="_Toc125983089" w:history="1">
            <w:r w:rsidR="007477B3" w:rsidRPr="00625B03">
              <w:rPr>
                <w:rStyle w:val="Hyperlink"/>
                <w:i/>
                <w:iCs/>
                <w:noProof/>
              </w:rPr>
              <w:t>2.4.4</w:t>
            </w:r>
            <w:r w:rsidR="007477B3">
              <w:rPr>
                <w:rFonts w:eastAsiaTheme="minorEastAsia" w:cstheme="minorBidi"/>
                <w:noProof/>
                <w:sz w:val="22"/>
                <w:szCs w:val="22"/>
                <w:lang w:eastAsia="en-GB"/>
              </w:rPr>
              <w:tab/>
            </w:r>
            <w:r w:rsidR="007477B3" w:rsidRPr="00625B03">
              <w:rPr>
                <w:rStyle w:val="Hyperlink"/>
                <w:i/>
                <w:iCs/>
                <w:noProof/>
              </w:rPr>
              <w:t>Cardiovascular Disease (CVD)</w:t>
            </w:r>
            <w:r w:rsidR="007477B3">
              <w:rPr>
                <w:noProof/>
                <w:webHidden/>
              </w:rPr>
              <w:tab/>
            </w:r>
            <w:r w:rsidR="007477B3">
              <w:rPr>
                <w:noProof/>
                <w:webHidden/>
              </w:rPr>
              <w:fldChar w:fldCharType="begin"/>
            </w:r>
            <w:r w:rsidR="007477B3">
              <w:rPr>
                <w:noProof/>
                <w:webHidden/>
              </w:rPr>
              <w:instrText xml:space="preserve"> PAGEREF _Toc125983089 \h </w:instrText>
            </w:r>
            <w:r w:rsidR="007477B3">
              <w:rPr>
                <w:noProof/>
                <w:webHidden/>
              </w:rPr>
            </w:r>
            <w:r w:rsidR="007477B3">
              <w:rPr>
                <w:noProof/>
                <w:webHidden/>
              </w:rPr>
              <w:fldChar w:fldCharType="separate"/>
            </w:r>
            <w:r w:rsidR="007477B3">
              <w:rPr>
                <w:noProof/>
                <w:webHidden/>
              </w:rPr>
              <w:t>14</w:t>
            </w:r>
            <w:r w:rsidR="007477B3">
              <w:rPr>
                <w:noProof/>
                <w:webHidden/>
              </w:rPr>
              <w:fldChar w:fldCharType="end"/>
            </w:r>
          </w:hyperlink>
        </w:p>
        <w:p w14:paraId="02211F79" w14:textId="697DA211" w:rsidR="007477B3" w:rsidRDefault="008F309D">
          <w:pPr>
            <w:pStyle w:val="TOC3"/>
            <w:tabs>
              <w:tab w:val="left" w:pos="1100"/>
              <w:tab w:val="right" w:leader="dot" w:pos="13948"/>
            </w:tabs>
            <w:rPr>
              <w:rFonts w:eastAsiaTheme="minorEastAsia" w:cstheme="minorBidi"/>
              <w:noProof/>
              <w:sz w:val="22"/>
              <w:szCs w:val="22"/>
              <w:lang w:eastAsia="en-GB"/>
            </w:rPr>
          </w:pPr>
          <w:hyperlink w:anchor="_Toc125983090" w:history="1">
            <w:r w:rsidR="007477B3" w:rsidRPr="00625B03">
              <w:rPr>
                <w:rStyle w:val="Hyperlink"/>
                <w:i/>
                <w:iCs/>
                <w:noProof/>
              </w:rPr>
              <w:t>2.4.5</w:t>
            </w:r>
            <w:r w:rsidR="007477B3">
              <w:rPr>
                <w:rFonts w:eastAsiaTheme="minorEastAsia" w:cstheme="minorBidi"/>
                <w:noProof/>
                <w:sz w:val="22"/>
                <w:szCs w:val="22"/>
                <w:lang w:eastAsia="en-GB"/>
              </w:rPr>
              <w:tab/>
            </w:r>
            <w:r w:rsidR="007477B3" w:rsidRPr="00625B03">
              <w:rPr>
                <w:rStyle w:val="Hyperlink"/>
                <w:i/>
                <w:iCs/>
                <w:noProof/>
              </w:rPr>
              <w:t>Liver Disease</w:t>
            </w:r>
            <w:r w:rsidR="007477B3">
              <w:rPr>
                <w:noProof/>
                <w:webHidden/>
              </w:rPr>
              <w:tab/>
            </w:r>
            <w:r w:rsidR="007477B3">
              <w:rPr>
                <w:noProof/>
                <w:webHidden/>
              </w:rPr>
              <w:fldChar w:fldCharType="begin"/>
            </w:r>
            <w:r w:rsidR="007477B3">
              <w:rPr>
                <w:noProof/>
                <w:webHidden/>
              </w:rPr>
              <w:instrText xml:space="preserve"> PAGEREF _Toc125983090 \h </w:instrText>
            </w:r>
            <w:r w:rsidR="007477B3">
              <w:rPr>
                <w:noProof/>
                <w:webHidden/>
              </w:rPr>
            </w:r>
            <w:r w:rsidR="007477B3">
              <w:rPr>
                <w:noProof/>
                <w:webHidden/>
              </w:rPr>
              <w:fldChar w:fldCharType="separate"/>
            </w:r>
            <w:r w:rsidR="007477B3">
              <w:rPr>
                <w:noProof/>
                <w:webHidden/>
              </w:rPr>
              <w:t>15</w:t>
            </w:r>
            <w:r w:rsidR="007477B3">
              <w:rPr>
                <w:noProof/>
                <w:webHidden/>
              </w:rPr>
              <w:fldChar w:fldCharType="end"/>
            </w:r>
          </w:hyperlink>
        </w:p>
        <w:p w14:paraId="4BC11E47" w14:textId="7AA69BE3" w:rsidR="007477B3" w:rsidRDefault="008F309D">
          <w:pPr>
            <w:pStyle w:val="TOC3"/>
            <w:tabs>
              <w:tab w:val="left" w:pos="1100"/>
              <w:tab w:val="right" w:leader="dot" w:pos="13948"/>
            </w:tabs>
            <w:rPr>
              <w:rFonts w:eastAsiaTheme="minorEastAsia" w:cstheme="minorBidi"/>
              <w:noProof/>
              <w:sz w:val="22"/>
              <w:szCs w:val="22"/>
              <w:lang w:eastAsia="en-GB"/>
            </w:rPr>
          </w:pPr>
          <w:hyperlink w:anchor="_Toc125983091" w:history="1">
            <w:r w:rsidR="007477B3" w:rsidRPr="00625B03">
              <w:rPr>
                <w:rStyle w:val="Hyperlink"/>
                <w:i/>
                <w:iCs/>
                <w:noProof/>
              </w:rPr>
              <w:t>2.4.6</w:t>
            </w:r>
            <w:r w:rsidR="007477B3">
              <w:rPr>
                <w:rFonts w:eastAsiaTheme="minorEastAsia" w:cstheme="minorBidi"/>
                <w:noProof/>
                <w:sz w:val="22"/>
                <w:szCs w:val="22"/>
                <w:lang w:eastAsia="en-GB"/>
              </w:rPr>
              <w:tab/>
            </w:r>
            <w:r w:rsidR="007477B3" w:rsidRPr="00625B03">
              <w:rPr>
                <w:rStyle w:val="Hyperlink"/>
                <w:i/>
                <w:iCs/>
                <w:noProof/>
              </w:rPr>
              <w:t>Malnutrition</w:t>
            </w:r>
            <w:r w:rsidR="007477B3">
              <w:rPr>
                <w:noProof/>
                <w:webHidden/>
              </w:rPr>
              <w:tab/>
            </w:r>
            <w:r w:rsidR="007477B3">
              <w:rPr>
                <w:noProof/>
                <w:webHidden/>
              </w:rPr>
              <w:fldChar w:fldCharType="begin"/>
            </w:r>
            <w:r w:rsidR="007477B3">
              <w:rPr>
                <w:noProof/>
                <w:webHidden/>
              </w:rPr>
              <w:instrText xml:space="preserve"> PAGEREF _Toc125983091 \h </w:instrText>
            </w:r>
            <w:r w:rsidR="007477B3">
              <w:rPr>
                <w:noProof/>
                <w:webHidden/>
              </w:rPr>
            </w:r>
            <w:r w:rsidR="007477B3">
              <w:rPr>
                <w:noProof/>
                <w:webHidden/>
              </w:rPr>
              <w:fldChar w:fldCharType="separate"/>
            </w:r>
            <w:r w:rsidR="007477B3">
              <w:rPr>
                <w:noProof/>
                <w:webHidden/>
              </w:rPr>
              <w:t>16</w:t>
            </w:r>
            <w:r w:rsidR="007477B3">
              <w:rPr>
                <w:noProof/>
                <w:webHidden/>
              </w:rPr>
              <w:fldChar w:fldCharType="end"/>
            </w:r>
          </w:hyperlink>
        </w:p>
        <w:p w14:paraId="4AB361E9" w14:textId="180C1861" w:rsidR="007477B3" w:rsidRDefault="008F309D">
          <w:pPr>
            <w:pStyle w:val="TOC3"/>
            <w:tabs>
              <w:tab w:val="left" w:pos="1100"/>
              <w:tab w:val="right" w:leader="dot" w:pos="13948"/>
            </w:tabs>
            <w:rPr>
              <w:rFonts w:eastAsiaTheme="minorEastAsia" w:cstheme="minorBidi"/>
              <w:noProof/>
              <w:sz w:val="22"/>
              <w:szCs w:val="22"/>
              <w:lang w:eastAsia="en-GB"/>
            </w:rPr>
          </w:pPr>
          <w:hyperlink w:anchor="_Toc125983092" w:history="1">
            <w:r w:rsidR="007477B3" w:rsidRPr="00625B03">
              <w:rPr>
                <w:rStyle w:val="Hyperlink"/>
                <w:i/>
                <w:iCs/>
                <w:noProof/>
              </w:rPr>
              <w:t>2.4.7</w:t>
            </w:r>
            <w:r w:rsidR="007477B3">
              <w:rPr>
                <w:rFonts w:eastAsiaTheme="minorEastAsia" w:cstheme="minorBidi"/>
                <w:noProof/>
                <w:sz w:val="22"/>
                <w:szCs w:val="22"/>
                <w:lang w:eastAsia="en-GB"/>
              </w:rPr>
              <w:tab/>
            </w:r>
            <w:r w:rsidR="007477B3" w:rsidRPr="00625B03">
              <w:rPr>
                <w:rStyle w:val="Hyperlink"/>
                <w:i/>
                <w:iCs/>
                <w:noProof/>
              </w:rPr>
              <w:t>Bone Health</w:t>
            </w:r>
            <w:r w:rsidR="007477B3">
              <w:rPr>
                <w:noProof/>
                <w:webHidden/>
              </w:rPr>
              <w:tab/>
            </w:r>
            <w:r w:rsidR="007477B3">
              <w:rPr>
                <w:noProof/>
                <w:webHidden/>
              </w:rPr>
              <w:fldChar w:fldCharType="begin"/>
            </w:r>
            <w:r w:rsidR="007477B3">
              <w:rPr>
                <w:noProof/>
                <w:webHidden/>
              </w:rPr>
              <w:instrText xml:space="preserve"> PAGEREF _Toc125983092 \h </w:instrText>
            </w:r>
            <w:r w:rsidR="007477B3">
              <w:rPr>
                <w:noProof/>
                <w:webHidden/>
              </w:rPr>
            </w:r>
            <w:r w:rsidR="007477B3">
              <w:rPr>
                <w:noProof/>
                <w:webHidden/>
              </w:rPr>
              <w:fldChar w:fldCharType="separate"/>
            </w:r>
            <w:r w:rsidR="007477B3">
              <w:rPr>
                <w:noProof/>
                <w:webHidden/>
              </w:rPr>
              <w:t>17</w:t>
            </w:r>
            <w:r w:rsidR="007477B3">
              <w:rPr>
                <w:noProof/>
                <w:webHidden/>
              </w:rPr>
              <w:fldChar w:fldCharType="end"/>
            </w:r>
          </w:hyperlink>
        </w:p>
        <w:p w14:paraId="5EC00980" w14:textId="37C09D2D" w:rsidR="007477B3" w:rsidRDefault="008F309D">
          <w:pPr>
            <w:pStyle w:val="TOC3"/>
            <w:tabs>
              <w:tab w:val="left" w:pos="1100"/>
              <w:tab w:val="right" w:leader="dot" w:pos="13948"/>
            </w:tabs>
            <w:rPr>
              <w:rFonts w:eastAsiaTheme="minorEastAsia" w:cstheme="minorBidi"/>
              <w:noProof/>
              <w:sz w:val="22"/>
              <w:szCs w:val="22"/>
              <w:lang w:eastAsia="en-GB"/>
            </w:rPr>
          </w:pPr>
          <w:hyperlink w:anchor="_Toc125983093" w:history="1">
            <w:r w:rsidR="007477B3" w:rsidRPr="00625B03">
              <w:rPr>
                <w:rStyle w:val="Hyperlink"/>
                <w:i/>
                <w:iCs/>
                <w:noProof/>
              </w:rPr>
              <w:t>2.4.8</w:t>
            </w:r>
            <w:r w:rsidR="007477B3">
              <w:rPr>
                <w:rFonts w:eastAsiaTheme="minorEastAsia" w:cstheme="minorBidi"/>
                <w:noProof/>
                <w:sz w:val="22"/>
                <w:szCs w:val="22"/>
                <w:lang w:eastAsia="en-GB"/>
              </w:rPr>
              <w:tab/>
            </w:r>
            <w:r w:rsidR="007477B3" w:rsidRPr="00625B03">
              <w:rPr>
                <w:rStyle w:val="Hyperlink"/>
                <w:i/>
                <w:iCs/>
                <w:noProof/>
              </w:rPr>
              <w:t>Pancreatic Insufficiency</w:t>
            </w:r>
            <w:r w:rsidR="007477B3">
              <w:rPr>
                <w:noProof/>
                <w:webHidden/>
              </w:rPr>
              <w:tab/>
            </w:r>
            <w:r w:rsidR="007477B3">
              <w:rPr>
                <w:noProof/>
                <w:webHidden/>
              </w:rPr>
              <w:fldChar w:fldCharType="begin"/>
            </w:r>
            <w:r w:rsidR="007477B3">
              <w:rPr>
                <w:noProof/>
                <w:webHidden/>
              </w:rPr>
              <w:instrText xml:space="preserve"> PAGEREF _Toc125983093 \h </w:instrText>
            </w:r>
            <w:r w:rsidR="007477B3">
              <w:rPr>
                <w:noProof/>
                <w:webHidden/>
              </w:rPr>
            </w:r>
            <w:r w:rsidR="007477B3">
              <w:rPr>
                <w:noProof/>
                <w:webHidden/>
              </w:rPr>
              <w:fldChar w:fldCharType="separate"/>
            </w:r>
            <w:r w:rsidR="007477B3">
              <w:rPr>
                <w:noProof/>
                <w:webHidden/>
              </w:rPr>
              <w:t>18</w:t>
            </w:r>
            <w:r w:rsidR="007477B3">
              <w:rPr>
                <w:noProof/>
                <w:webHidden/>
              </w:rPr>
              <w:fldChar w:fldCharType="end"/>
            </w:r>
          </w:hyperlink>
        </w:p>
        <w:p w14:paraId="083955E2" w14:textId="101368EB" w:rsidR="007477B3" w:rsidRDefault="008F309D">
          <w:pPr>
            <w:pStyle w:val="TOC3"/>
            <w:tabs>
              <w:tab w:val="left" w:pos="1100"/>
              <w:tab w:val="right" w:leader="dot" w:pos="13948"/>
            </w:tabs>
            <w:rPr>
              <w:rFonts w:eastAsiaTheme="minorEastAsia" w:cstheme="minorBidi"/>
              <w:noProof/>
              <w:sz w:val="22"/>
              <w:szCs w:val="22"/>
              <w:lang w:eastAsia="en-GB"/>
            </w:rPr>
          </w:pPr>
          <w:hyperlink w:anchor="_Toc125983094" w:history="1">
            <w:r w:rsidR="007477B3" w:rsidRPr="00625B03">
              <w:rPr>
                <w:rStyle w:val="Hyperlink"/>
                <w:i/>
                <w:iCs/>
                <w:noProof/>
              </w:rPr>
              <w:t>2.4.9</w:t>
            </w:r>
            <w:r w:rsidR="007477B3">
              <w:rPr>
                <w:rFonts w:eastAsiaTheme="minorEastAsia" w:cstheme="minorBidi"/>
                <w:noProof/>
                <w:sz w:val="22"/>
                <w:szCs w:val="22"/>
                <w:lang w:eastAsia="en-GB"/>
              </w:rPr>
              <w:tab/>
            </w:r>
            <w:r w:rsidR="007477B3" w:rsidRPr="00625B03">
              <w:rPr>
                <w:rStyle w:val="Hyperlink"/>
                <w:i/>
                <w:iCs/>
                <w:noProof/>
              </w:rPr>
              <w:t>Cancer</w:t>
            </w:r>
            <w:r w:rsidR="007477B3">
              <w:rPr>
                <w:noProof/>
                <w:webHidden/>
              </w:rPr>
              <w:tab/>
            </w:r>
            <w:r w:rsidR="007477B3">
              <w:rPr>
                <w:noProof/>
                <w:webHidden/>
              </w:rPr>
              <w:fldChar w:fldCharType="begin"/>
            </w:r>
            <w:r w:rsidR="007477B3">
              <w:rPr>
                <w:noProof/>
                <w:webHidden/>
              </w:rPr>
              <w:instrText xml:space="preserve"> PAGEREF _Toc125983094 \h </w:instrText>
            </w:r>
            <w:r w:rsidR="007477B3">
              <w:rPr>
                <w:noProof/>
                <w:webHidden/>
              </w:rPr>
            </w:r>
            <w:r w:rsidR="007477B3">
              <w:rPr>
                <w:noProof/>
                <w:webHidden/>
              </w:rPr>
              <w:fldChar w:fldCharType="separate"/>
            </w:r>
            <w:r w:rsidR="007477B3">
              <w:rPr>
                <w:noProof/>
                <w:webHidden/>
              </w:rPr>
              <w:t>18</w:t>
            </w:r>
            <w:r w:rsidR="007477B3">
              <w:rPr>
                <w:noProof/>
                <w:webHidden/>
              </w:rPr>
              <w:fldChar w:fldCharType="end"/>
            </w:r>
          </w:hyperlink>
        </w:p>
        <w:p w14:paraId="1AA08589" w14:textId="74A2B48E" w:rsidR="007477B3" w:rsidRDefault="008F309D">
          <w:pPr>
            <w:pStyle w:val="TOC2"/>
            <w:rPr>
              <w:rFonts w:eastAsiaTheme="minorEastAsia" w:cstheme="minorBidi"/>
              <w:b w:val="0"/>
              <w:bCs w:val="0"/>
              <w:noProof/>
              <w:lang w:eastAsia="en-GB"/>
            </w:rPr>
          </w:pPr>
          <w:hyperlink w:anchor="_Toc125983095" w:history="1">
            <w:r w:rsidR="007477B3" w:rsidRPr="00625B03">
              <w:rPr>
                <w:rStyle w:val="Hyperlink"/>
                <w:noProof/>
              </w:rPr>
              <w:t>2.5</w:t>
            </w:r>
            <w:r w:rsidR="007477B3">
              <w:rPr>
                <w:rFonts w:eastAsiaTheme="minorEastAsia" w:cstheme="minorBidi"/>
                <w:b w:val="0"/>
                <w:bCs w:val="0"/>
                <w:noProof/>
                <w:lang w:eastAsia="en-GB"/>
              </w:rPr>
              <w:tab/>
            </w:r>
            <w:r w:rsidR="007477B3" w:rsidRPr="00625B03">
              <w:rPr>
                <w:rStyle w:val="Hyperlink"/>
                <w:noProof/>
              </w:rPr>
              <w:t>Nutritional and Dietetic Assessment and Care Planning</w:t>
            </w:r>
            <w:r w:rsidR="007477B3">
              <w:rPr>
                <w:noProof/>
                <w:webHidden/>
              </w:rPr>
              <w:tab/>
            </w:r>
            <w:r w:rsidR="007477B3">
              <w:rPr>
                <w:noProof/>
                <w:webHidden/>
              </w:rPr>
              <w:fldChar w:fldCharType="begin"/>
            </w:r>
            <w:r w:rsidR="007477B3">
              <w:rPr>
                <w:noProof/>
                <w:webHidden/>
              </w:rPr>
              <w:instrText xml:space="preserve"> PAGEREF _Toc125983095 \h </w:instrText>
            </w:r>
            <w:r w:rsidR="007477B3">
              <w:rPr>
                <w:noProof/>
                <w:webHidden/>
              </w:rPr>
            </w:r>
            <w:r w:rsidR="007477B3">
              <w:rPr>
                <w:noProof/>
                <w:webHidden/>
              </w:rPr>
              <w:fldChar w:fldCharType="separate"/>
            </w:r>
            <w:r w:rsidR="007477B3">
              <w:rPr>
                <w:noProof/>
                <w:webHidden/>
              </w:rPr>
              <w:t>19</w:t>
            </w:r>
            <w:r w:rsidR="007477B3">
              <w:rPr>
                <w:noProof/>
                <w:webHidden/>
              </w:rPr>
              <w:fldChar w:fldCharType="end"/>
            </w:r>
          </w:hyperlink>
        </w:p>
        <w:p w14:paraId="1B2FA8B8" w14:textId="1EFA7518" w:rsidR="007477B3" w:rsidRDefault="008F309D">
          <w:pPr>
            <w:pStyle w:val="TOC1"/>
            <w:rPr>
              <w:rFonts w:eastAsiaTheme="minorEastAsia" w:cstheme="minorBidi"/>
              <w:b w:val="0"/>
              <w:bCs w:val="0"/>
              <w:i w:val="0"/>
              <w:iCs w:val="0"/>
              <w:noProof/>
              <w:sz w:val="22"/>
              <w:szCs w:val="22"/>
              <w:lang w:eastAsia="en-GB"/>
            </w:rPr>
          </w:pPr>
          <w:hyperlink w:anchor="_Toc125983096" w:history="1">
            <w:r w:rsidR="007477B3" w:rsidRPr="00625B03">
              <w:rPr>
                <w:rStyle w:val="Hyperlink"/>
                <w:noProof/>
              </w:rPr>
              <w:t>3.</w:t>
            </w:r>
            <w:r w:rsidR="007477B3">
              <w:rPr>
                <w:rFonts w:eastAsiaTheme="minorEastAsia" w:cstheme="minorBidi"/>
                <w:b w:val="0"/>
                <w:bCs w:val="0"/>
                <w:i w:val="0"/>
                <w:iCs w:val="0"/>
                <w:noProof/>
                <w:sz w:val="22"/>
                <w:szCs w:val="22"/>
                <w:lang w:eastAsia="en-GB"/>
              </w:rPr>
              <w:tab/>
            </w:r>
            <w:r w:rsidR="007477B3" w:rsidRPr="00625B03">
              <w:rPr>
                <w:rStyle w:val="Hyperlink"/>
                <w:noProof/>
              </w:rPr>
              <w:t>References</w:t>
            </w:r>
            <w:r w:rsidR="007477B3">
              <w:rPr>
                <w:noProof/>
                <w:webHidden/>
              </w:rPr>
              <w:tab/>
            </w:r>
            <w:r w:rsidR="007477B3">
              <w:rPr>
                <w:noProof/>
                <w:webHidden/>
              </w:rPr>
              <w:fldChar w:fldCharType="begin"/>
            </w:r>
            <w:r w:rsidR="007477B3">
              <w:rPr>
                <w:noProof/>
                <w:webHidden/>
              </w:rPr>
              <w:instrText xml:space="preserve"> PAGEREF _Toc125983096 \h </w:instrText>
            </w:r>
            <w:r w:rsidR="007477B3">
              <w:rPr>
                <w:noProof/>
                <w:webHidden/>
              </w:rPr>
            </w:r>
            <w:r w:rsidR="007477B3">
              <w:rPr>
                <w:noProof/>
                <w:webHidden/>
              </w:rPr>
              <w:fldChar w:fldCharType="separate"/>
            </w:r>
            <w:r w:rsidR="007477B3">
              <w:rPr>
                <w:noProof/>
                <w:webHidden/>
              </w:rPr>
              <w:t>24</w:t>
            </w:r>
            <w:r w:rsidR="007477B3">
              <w:rPr>
                <w:noProof/>
                <w:webHidden/>
              </w:rPr>
              <w:fldChar w:fldCharType="end"/>
            </w:r>
          </w:hyperlink>
        </w:p>
        <w:p w14:paraId="0E686D6B" w14:textId="5B892B5A" w:rsidR="007477B3" w:rsidRDefault="008F309D">
          <w:pPr>
            <w:pStyle w:val="TOC1"/>
            <w:rPr>
              <w:rFonts w:eastAsiaTheme="minorEastAsia" w:cstheme="minorBidi"/>
              <w:b w:val="0"/>
              <w:bCs w:val="0"/>
              <w:i w:val="0"/>
              <w:iCs w:val="0"/>
              <w:noProof/>
              <w:sz w:val="22"/>
              <w:szCs w:val="22"/>
              <w:lang w:eastAsia="en-GB"/>
            </w:rPr>
          </w:pPr>
          <w:hyperlink w:anchor="_Toc125983097" w:history="1">
            <w:r w:rsidR="007477B3" w:rsidRPr="00625B03">
              <w:rPr>
                <w:rStyle w:val="Hyperlink"/>
                <w:noProof/>
              </w:rPr>
              <w:t>4.</w:t>
            </w:r>
            <w:r w:rsidR="007477B3">
              <w:rPr>
                <w:rFonts w:eastAsiaTheme="minorEastAsia" w:cstheme="minorBidi"/>
                <w:b w:val="0"/>
                <w:bCs w:val="0"/>
                <w:i w:val="0"/>
                <w:iCs w:val="0"/>
                <w:noProof/>
                <w:sz w:val="22"/>
                <w:szCs w:val="22"/>
                <w:lang w:eastAsia="en-GB"/>
              </w:rPr>
              <w:tab/>
            </w:r>
            <w:r w:rsidR="007477B3" w:rsidRPr="00625B03">
              <w:rPr>
                <w:rStyle w:val="Hyperlink"/>
                <w:noProof/>
              </w:rPr>
              <w:t>Appendix 1: Examples of Evidence</w:t>
            </w:r>
            <w:r w:rsidR="007477B3">
              <w:rPr>
                <w:noProof/>
                <w:webHidden/>
              </w:rPr>
              <w:tab/>
            </w:r>
            <w:r w:rsidR="007477B3">
              <w:rPr>
                <w:noProof/>
                <w:webHidden/>
              </w:rPr>
              <w:fldChar w:fldCharType="begin"/>
            </w:r>
            <w:r w:rsidR="007477B3">
              <w:rPr>
                <w:noProof/>
                <w:webHidden/>
              </w:rPr>
              <w:instrText xml:space="preserve"> PAGEREF _Toc125983097 \h </w:instrText>
            </w:r>
            <w:r w:rsidR="007477B3">
              <w:rPr>
                <w:noProof/>
                <w:webHidden/>
              </w:rPr>
            </w:r>
            <w:r w:rsidR="007477B3">
              <w:rPr>
                <w:noProof/>
                <w:webHidden/>
              </w:rPr>
              <w:fldChar w:fldCharType="separate"/>
            </w:r>
            <w:r w:rsidR="007477B3">
              <w:rPr>
                <w:noProof/>
                <w:webHidden/>
              </w:rPr>
              <w:t>25</w:t>
            </w:r>
            <w:r w:rsidR="007477B3">
              <w:rPr>
                <w:noProof/>
                <w:webHidden/>
              </w:rPr>
              <w:fldChar w:fldCharType="end"/>
            </w:r>
          </w:hyperlink>
        </w:p>
        <w:p w14:paraId="573A5BCA" w14:textId="13BB0770" w:rsidR="007477B3" w:rsidRDefault="008F309D">
          <w:pPr>
            <w:pStyle w:val="TOC3"/>
            <w:tabs>
              <w:tab w:val="right" w:leader="dot" w:pos="13948"/>
            </w:tabs>
            <w:rPr>
              <w:rFonts w:eastAsiaTheme="minorEastAsia" w:cstheme="minorBidi"/>
              <w:noProof/>
              <w:sz w:val="22"/>
              <w:szCs w:val="22"/>
              <w:lang w:eastAsia="en-GB"/>
            </w:rPr>
          </w:pPr>
          <w:hyperlink w:anchor="_Toc125983098" w:history="1">
            <w:r w:rsidR="007477B3" w:rsidRPr="00625B03">
              <w:rPr>
                <w:rStyle w:val="Hyperlink"/>
                <w:noProof/>
              </w:rPr>
              <w:t>Evidence for Practice (Clinical Practice, Service User Focus, and Communication)</w:t>
            </w:r>
            <w:r w:rsidR="007477B3">
              <w:rPr>
                <w:noProof/>
                <w:webHidden/>
              </w:rPr>
              <w:tab/>
            </w:r>
            <w:r w:rsidR="007477B3">
              <w:rPr>
                <w:noProof/>
                <w:webHidden/>
              </w:rPr>
              <w:fldChar w:fldCharType="begin"/>
            </w:r>
            <w:r w:rsidR="007477B3">
              <w:rPr>
                <w:noProof/>
                <w:webHidden/>
              </w:rPr>
              <w:instrText xml:space="preserve"> PAGEREF _Toc125983098 \h </w:instrText>
            </w:r>
            <w:r w:rsidR="007477B3">
              <w:rPr>
                <w:noProof/>
                <w:webHidden/>
              </w:rPr>
            </w:r>
            <w:r w:rsidR="007477B3">
              <w:rPr>
                <w:noProof/>
                <w:webHidden/>
              </w:rPr>
              <w:fldChar w:fldCharType="separate"/>
            </w:r>
            <w:r w:rsidR="007477B3">
              <w:rPr>
                <w:noProof/>
                <w:webHidden/>
              </w:rPr>
              <w:t>25</w:t>
            </w:r>
            <w:r w:rsidR="007477B3">
              <w:rPr>
                <w:noProof/>
                <w:webHidden/>
              </w:rPr>
              <w:fldChar w:fldCharType="end"/>
            </w:r>
          </w:hyperlink>
        </w:p>
        <w:p w14:paraId="74E03DE1" w14:textId="4C9E4314" w:rsidR="007477B3" w:rsidRDefault="008F309D">
          <w:pPr>
            <w:pStyle w:val="TOC3"/>
            <w:tabs>
              <w:tab w:val="right" w:leader="dot" w:pos="13948"/>
            </w:tabs>
            <w:rPr>
              <w:rFonts w:eastAsiaTheme="minorEastAsia" w:cstheme="minorBidi"/>
              <w:noProof/>
              <w:sz w:val="22"/>
              <w:szCs w:val="22"/>
              <w:lang w:eastAsia="en-GB"/>
            </w:rPr>
          </w:pPr>
          <w:hyperlink w:anchor="_Toc125983099" w:history="1">
            <w:r w:rsidR="007477B3" w:rsidRPr="00625B03">
              <w:rPr>
                <w:rStyle w:val="Hyperlink"/>
                <w:noProof/>
              </w:rPr>
              <w:t>Evidence for Evidence Based Practice and Research</w:t>
            </w:r>
            <w:r w:rsidR="007477B3">
              <w:rPr>
                <w:noProof/>
                <w:webHidden/>
              </w:rPr>
              <w:tab/>
            </w:r>
            <w:r w:rsidR="007477B3">
              <w:rPr>
                <w:noProof/>
                <w:webHidden/>
              </w:rPr>
              <w:fldChar w:fldCharType="begin"/>
            </w:r>
            <w:r w:rsidR="007477B3">
              <w:rPr>
                <w:noProof/>
                <w:webHidden/>
              </w:rPr>
              <w:instrText xml:space="preserve"> PAGEREF _Toc125983099 \h </w:instrText>
            </w:r>
            <w:r w:rsidR="007477B3">
              <w:rPr>
                <w:noProof/>
                <w:webHidden/>
              </w:rPr>
            </w:r>
            <w:r w:rsidR="007477B3">
              <w:rPr>
                <w:noProof/>
                <w:webHidden/>
              </w:rPr>
              <w:fldChar w:fldCharType="separate"/>
            </w:r>
            <w:r w:rsidR="007477B3">
              <w:rPr>
                <w:noProof/>
                <w:webHidden/>
              </w:rPr>
              <w:t>25</w:t>
            </w:r>
            <w:r w:rsidR="007477B3">
              <w:rPr>
                <w:noProof/>
                <w:webHidden/>
              </w:rPr>
              <w:fldChar w:fldCharType="end"/>
            </w:r>
          </w:hyperlink>
        </w:p>
        <w:p w14:paraId="59B2D759" w14:textId="788E7E66" w:rsidR="007477B3" w:rsidRDefault="008F309D">
          <w:pPr>
            <w:pStyle w:val="TOC3"/>
            <w:tabs>
              <w:tab w:val="right" w:leader="dot" w:pos="13948"/>
            </w:tabs>
            <w:rPr>
              <w:rFonts w:eastAsiaTheme="minorEastAsia" w:cstheme="minorBidi"/>
              <w:noProof/>
              <w:sz w:val="22"/>
              <w:szCs w:val="22"/>
              <w:lang w:eastAsia="en-GB"/>
            </w:rPr>
          </w:pPr>
          <w:hyperlink w:anchor="_Toc125983100" w:history="1">
            <w:r w:rsidR="007477B3" w:rsidRPr="00625B03">
              <w:rPr>
                <w:rStyle w:val="Hyperlink"/>
                <w:noProof/>
              </w:rPr>
              <w:t>Evidence for Facilitated Learning</w:t>
            </w:r>
            <w:r w:rsidR="007477B3">
              <w:rPr>
                <w:noProof/>
                <w:webHidden/>
              </w:rPr>
              <w:tab/>
            </w:r>
            <w:r w:rsidR="007477B3">
              <w:rPr>
                <w:noProof/>
                <w:webHidden/>
              </w:rPr>
              <w:fldChar w:fldCharType="begin"/>
            </w:r>
            <w:r w:rsidR="007477B3">
              <w:rPr>
                <w:noProof/>
                <w:webHidden/>
              </w:rPr>
              <w:instrText xml:space="preserve"> PAGEREF _Toc125983100 \h </w:instrText>
            </w:r>
            <w:r w:rsidR="007477B3">
              <w:rPr>
                <w:noProof/>
                <w:webHidden/>
              </w:rPr>
            </w:r>
            <w:r w:rsidR="007477B3">
              <w:rPr>
                <w:noProof/>
                <w:webHidden/>
              </w:rPr>
              <w:fldChar w:fldCharType="separate"/>
            </w:r>
            <w:r w:rsidR="007477B3">
              <w:rPr>
                <w:noProof/>
                <w:webHidden/>
              </w:rPr>
              <w:t>26</w:t>
            </w:r>
            <w:r w:rsidR="007477B3">
              <w:rPr>
                <w:noProof/>
                <w:webHidden/>
              </w:rPr>
              <w:fldChar w:fldCharType="end"/>
            </w:r>
          </w:hyperlink>
        </w:p>
        <w:p w14:paraId="3CFC5FDA" w14:textId="7CFF474F" w:rsidR="007477B3" w:rsidRDefault="008F309D">
          <w:pPr>
            <w:pStyle w:val="TOC3"/>
            <w:tabs>
              <w:tab w:val="right" w:leader="dot" w:pos="13948"/>
            </w:tabs>
            <w:rPr>
              <w:rFonts w:eastAsiaTheme="minorEastAsia" w:cstheme="minorBidi"/>
              <w:noProof/>
              <w:sz w:val="22"/>
              <w:szCs w:val="22"/>
              <w:lang w:eastAsia="en-GB"/>
            </w:rPr>
          </w:pPr>
          <w:hyperlink w:anchor="_Toc125983101" w:history="1">
            <w:r w:rsidR="007477B3" w:rsidRPr="00625B03">
              <w:rPr>
                <w:rStyle w:val="Hyperlink"/>
                <w:noProof/>
              </w:rPr>
              <w:t>Evidence for Leadership</w:t>
            </w:r>
            <w:r w:rsidR="007477B3">
              <w:rPr>
                <w:noProof/>
                <w:webHidden/>
              </w:rPr>
              <w:tab/>
            </w:r>
            <w:r w:rsidR="007477B3">
              <w:rPr>
                <w:noProof/>
                <w:webHidden/>
              </w:rPr>
              <w:fldChar w:fldCharType="begin"/>
            </w:r>
            <w:r w:rsidR="007477B3">
              <w:rPr>
                <w:noProof/>
                <w:webHidden/>
              </w:rPr>
              <w:instrText xml:space="preserve"> PAGEREF _Toc125983101 \h </w:instrText>
            </w:r>
            <w:r w:rsidR="007477B3">
              <w:rPr>
                <w:noProof/>
                <w:webHidden/>
              </w:rPr>
            </w:r>
            <w:r w:rsidR="007477B3">
              <w:rPr>
                <w:noProof/>
                <w:webHidden/>
              </w:rPr>
              <w:fldChar w:fldCharType="separate"/>
            </w:r>
            <w:r w:rsidR="007477B3">
              <w:rPr>
                <w:noProof/>
                <w:webHidden/>
              </w:rPr>
              <w:t>26</w:t>
            </w:r>
            <w:r w:rsidR="007477B3">
              <w:rPr>
                <w:noProof/>
                <w:webHidden/>
              </w:rPr>
              <w:fldChar w:fldCharType="end"/>
            </w:r>
          </w:hyperlink>
        </w:p>
        <w:p w14:paraId="26C84E70" w14:textId="0F18A2FC" w:rsidR="007477B3" w:rsidRDefault="001B55CD" w:rsidP="007477B3">
          <w:pPr>
            <w:sectPr w:rsidR="007477B3" w:rsidSect="007477B3">
              <w:footerReference w:type="default" r:id="rId9"/>
              <w:footerReference w:type="first" r:id="rId10"/>
              <w:type w:val="continuous"/>
              <w:pgSz w:w="16838" w:h="11906" w:orient="landscape"/>
              <w:pgMar w:top="1440" w:right="1440" w:bottom="1440" w:left="1440" w:header="708" w:footer="708" w:gutter="0"/>
              <w:pgNumType w:start="1"/>
              <w:cols w:space="708"/>
              <w:titlePg/>
              <w:docGrid w:linePitch="360"/>
            </w:sectPr>
          </w:pPr>
          <w:r>
            <w:rPr>
              <w:b/>
              <w:bCs/>
              <w:noProof/>
            </w:rPr>
            <w:fldChar w:fldCharType="end"/>
          </w:r>
        </w:p>
      </w:sdtContent>
    </w:sdt>
    <w:p w14:paraId="4EE6F28C" w14:textId="7D5A7657" w:rsidR="00EE6AF5" w:rsidRDefault="00EE6AF5" w:rsidP="00EE6AF5">
      <w:pPr>
        <w:spacing w:after="200" w:line="276" w:lineRule="auto"/>
      </w:pPr>
    </w:p>
    <w:p w14:paraId="6F8F3312" w14:textId="0BCF9689" w:rsidR="006A2AAC" w:rsidRDefault="006A2AAC">
      <w:pPr>
        <w:pStyle w:val="Heading1"/>
        <w:numPr>
          <w:ilvl w:val="0"/>
          <w:numId w:val="19"/>
        </w:numPr>
      </w:pPr>
      <w:bookmarkStart w:id="2" w:name="_Toc125983075"/>
      <w:r>
        <w:t>Introduction</w:t>
      </w:r>
      <w:bookmarkEnd w:id="2"/>
    </w:p>
    <w:p w14:paraId="63A720A3" w14:textId="5ABBD598" w:rsidR="006A2AAC" w:rsidRPr="001644F9" w:rsidRDefault="006A2AAC" w:rsidP="00041C0E"/>
    <w:p w14:paraId="1D9C0B06" w14:textId="41A69DE2" w:rsidR="006A2AAC" w:rsidRPr="001644F9" w:rsidRDefault="006A2AAC">
      <w:pPr>
        <w:pStyle w:val="Heading2"/>
        <w:numPr>
          <w:ilvl w:val="1"/>
          <w:numId w:val="19"/>
        </w:numPr>
      </w:pPr>
      <w:bookmarkStart w:id="3" w:name="_Toc125983076"/>
      <w:r w:rsidRPr="001644F9">
        <w:t>The role of the HIV dietitian</w:t>
      </w:r>
      <w:bookmarkEnd w:id="3"/>
    </w:p>
    <w:p w14:paraId="065F97AF" w14:textId="1623F951" w:rsidR="006A2AAC" w:rsidRDefault="006A2AAC" w:rsidP="006A2AAC">
      <w:r>
        <w:t>Dietitians are a key part of the multi-disciplinary team working to care for people living with HIV (PLHIV). Since the advent of effective anti-retroviral (ARV) treatment for HIV</w:t>
      </w:r>
      <w:r w:rsidR="00F019B2">
        <w:t>,</w:t>
      </w:r>
      <w:r>
        <w:t xml:space="preserve"> the role of the dietitian has changed from one primarily focused on nutritional support of acutely unwell patients</w:t>
      </w:r>
      <w:r w:rsidR="00A26A23">
        <w:t>,</w:t>
      </w:r>
      <w:r>
        <w:t xml:space="preserve"> to one supporting healthy lifestyle choices and therapeutic dietary interventions to enable and facilitate long and healthy lives for PLHIV. </w:t>
      </w:r>
    </w:p>
    <w:p w14:paraId="1C4AD863" w14:textId="2EB513A9" w:rsidR="006A2AAC" w:rsidRDefault="006A2AAC" w:rsidP="006A2AAC">
      <w:r>
        <w:t xml:space="preserve">The skill set and competency of dietitians working in HIV care has had to change accordingly, with dietary intervention required in a range of conditions and co-morbidities from malnutrition and cancer through to obesity and diabetes. The HIV client group is also a diverse and challenging one, encompassing many who do not always engage well with health services and those who are economically and socially on the margins. A dietitian working in this area needs therefore to have a flexible and patient-centred approach to care, learning about the cultures and groups represented </w:t>
      </w:r>
      <w:r w:rsidR="00F7020F">
        <w:t xml:space="preserve">in </w:t>
      </w:r>
      <w:r>
        <w:t xml:space="preserve">their caseload in order to provide </w:t>
      </w:r>
      <w:r w:rsidR="004A7F9B">
        <w:t xml:space="preserve">appropriately </w:t>
      </w:r>
      <w:r>
        <w:t xml:space="preserve">tailored interventions. They also need to work closely with their </w:t>
      </w:r>
      <w:r w:rsidR="00794EAA">
        <w:t xml:space="preserve">multidisciplinary </w:t>
      </w:r>
      <w:r w:rsidR="00A26A23">
        <w:t xml:space="preserve">team </w:t>
      </w:r>
      <w:r w:rsidR="00794EAA">
        <w:t>(</w:t>
      </w:r>
      <w:r>
        <w:t>MDT</w:t>
      </w:r>
      <w:r w:rsidR="00794EAA">
        <w:t xml:space="preserve">) </w:t>
      </w:r>
      <w:r>
        <w:t xml:space="preserve">colleagues, supportive charities and outside agencies to provide holistic and effective care for individuals who are vulnerable. HIV and AIDS-related stigma and prejudice is still a significant barrier to PLHIV seeking care and making decisions about their health. Dietitians integrated with the HIV team are in a strong position to provide care in a safe environment where PLHIV can be assured of confidentiality and understanding. </w:t>
      </w:r>
    </w:p>
    <w:p w14:paraId="7E5C1033" w14:textId="63985E1E" w:rsidR="006A2AAC" w:rsidRDefault="00A26A23" w:rsidP="006A2AAC">
      <w:r>
        <w:t>Given the complexity and breadth of the role of the HIV Dietitian, d</w:t>
      </w:r>
      <w:r w:rsidR="006A2AAC">
        <w:t>ietitians</w:t>
      </w:r>
      <w:r>
        <w:t xml:space="preserve"> working in this area should continue to </w:t>
      </w:r>
      <w:r w:rsidR="006A2AAC">
        <w:t>develop their knowledge</w:t>
      </w:r>
      <w:r>
        <w:t xml:space="preserve">, </w:t>
      </w:r>
      <w:r w:rsidR="006A2AAC">
        <w:t xml:space="preserve">skills </w:t>
      </w:r>
      <w:r>
        <w:t xml:space="preserve">and </w:t>
      </w:r>
      <w:r w:rsidR="006A2AAC">
        <w:t xml:space="preserve">expertise to provide </w:t>
      </w:r>
      <w:r>
        <w:t xml:space="preserve">the best possible </w:t>
      </w:r>
      <w:r w:rsidR="006A2AAC">
        <w:t xml:space="preserve">care for PLHIV. The </w:t>
      </w:r>
      <w:r w:rsidR="00794EAA">
        <w:t>British HIV Association (</w:t>
      </w:r>
      <w:r w:rsidR="006A2AAC">
        <w:t>BHIVA</w:t>
      </w:r>
      <w:r w:rsidR="00794EAA">
        <w:t>)</w:t>
      </w:r>
      <w:r w:rsidR="006A2AAC">
        <w:t xml:space="preserve"> Standards of </w:t>
      </w:r>
      <w:r w:rsidR="00F7020F">
        <w:t>C</w:t>
      </w:r>
      <w:r w:rsidR="006A2AAC">
        <w:t xml:space="preserve">are for People living with HIV 2018 </w:t>
      </w:r>
      <w:r w:rsidR="00D66764" w:rsidRPr="00C03BB7">
        <w:rPr>
          <w:vertAlign w:val="superscript"/>
        </w:rPr>
        <w:t>(</w:t>
      </w:r>
      <w:r w:rsidR="00D66764">
        <w:rPr>
          <w:vertAlign w:val="superscript"/>
        </w:rPr>
        <w:t>1</w:t>
      </w:r>
      <w:r w:rsidR="00D66764" w:rsidRPr="00C03BB7">
        <w:rPr>
          <w:vertAlign w:val="superscript"/>
        </w:rPr>
        <w:t>)</w:t>
      </w:r>
      <w:r w:rsidR="00D66764">
        <w:t xml:space="preserve"> </w:t>
      </w:r>
      <w:r w:rsidR="006A2AAC">
        <w:t>acknowledge the need for skilled dietitians in the care of PLHIV and reference this document as a method of ensuring their competency.</w:t>
      </w:r>
    </w:p>
    <w:p w14:paraId="2CE6643F" w14:textId="73CD0334" w:rsidR="006A2AAC" w:rsidRDefault="006A2AAC">
      <w:pPr>
        <w:pStyle w:val="Heading2"/>
        <w:numPr>
          <w:ilvl w:val="1"/>
          <w:numId w:val="19"/>
        </w:numPr>
      </w:pPr>
      <w:bookmarkStart w:id="4" w:name="_Toc125983077"/>
      <w:r>
        <w:t xml:space="preserve">The Purpose of </w:t>
      </w:r>
      <w:r w:rsidR="004A7F9B">
        <w:t xml:space="preserve">the </w:t>
      </w:r>
      <w:r>
        <w:t xml:space="preserve">Competency </w:t>
      </w:r>
      <w:r w:rsidR="00F019B2">
        <w:t xml:space="preserve">and Skills </w:t>
      </w:r>
      <w:r>
        <w:t>Framework</w:t>
      </w:r>
      <w:bookmarkEnd w:id="4"/>
    </w:p>
    <w:p w14:paraId="6DB2DC4C" w14:textId="1CA1D56C" w:rsidR="004A7F9B" w:rsidRDefault="006A2AAC" w:rsidP="006A2AAC">
      <w:r>
        <w:t xml:space="preserve">The purpose of this document is to set out the standard required by dietitians to competently undertake their role in delivering evidence-based, effective dietetic care to PLHIV. It sets out both the knowledge and skills expected of dietitians working with PLHIV. It does not aim to provide a complete overview of a dietitian’s knowledge and skills but rather lists the </w:t>
      </w:r>
      <w:r w:rsidR="004B5DB4">
        <w:t xml:space="preserve">HIV </w:t>
      </w:r>
      <w:r>
        <w:t xml:space="preserve">specific skills and </w:t>
      </w:r>
      <w:r w:rsidR="00F7020F">
        <w:t>topics that a dietitian would be req</w:t>
      </w:r>
      <w:r w:rsidR="00DB4C8A">
        <w:t xml:space="preserve">uired to </w:t>
      </w:r>
      <w:r w:rsidR="00691DE8">
        <w:t xml:space="preserve">become familiar with through </w:t>
      </w:r>
      <w:r w:rsidR="00DB4C8A">
        <w:t xml:space="preserve">further reading, learning and clinical practice </w:t>
      </w:r>
      <w:r w:rsidR="00F7020F">
        <w:t xml:space="preserve">in order to achieve full </w:t>
      </w:r>
      <w:r>
        <w:t>competence</w:t>
      </w:r>
      <w:r w:rsidR="00F7020F">
        <w:t xml:space="preserve"> and</w:t>
      </w:r>
      <w:r w:rsidR="00DB4C8A">
        <w:t xml:space="preserve"> to </w:t>
      </w:r>
      <w:r>
        <w:t xml:space="preserve">work effectively with PLHIV. </w:t>
      </w:r>
    </w:p>
    <w:p w14:paraId="1DA09822" w14:textId="6FDB8315" w:rsidR="006A2AAC" w:rsidRDefault="005204C0" w:rsidP="006A2AAC">
      <w:r>
        <w:t>Th</w:t>
      </w:r>
      <w:r w:rsidR="001D6AD6">
        <w:t>is framework is not intended to</w:t>
      </w:r>
      <w:r>
        <w:t xml:space="preserve"> be used </w:t>
      </w:r>
      <w:r w:rsidR="001D6AD6">
        <w:t>as a standalone document</w:t>
      </w:r>
      <w:r w:rsidR="000E2EB1">
        <w:t>.</w:t>
      </w:r>
      <w:r>
        <w:t xml:space="preserve"> </w:t>
      </w:r>
      <w:r w:rsidR="001D6AD6">
        <w:t>It</w:t>
      </w:r>
      <w:r w:rsidR="00DB4C8A">
        <w:t xml:space="preserve"> </w:t>
      </w:r>
      <w:r w:rsidR="006A2AAC">
        <w:t>is complementary to</w:t>
      </w:r>
      <w:r w:rsidR="00F11BDF">
        <w:t>,</w:t>
      </w:r>
      <w:r w:rsidR="00691DE8">
        <w:t xml:space="preserve"> and should be used in conjunction with</w:t>
      </w:r>
      <w:r w:rsidR="00F11BDF">
        <w:t>,</w:t>
      </w:r>
      <w:r w:rsidR="006A2AAC">
        <w:t xml:space="preserve"> t</w:t>
      </w:r>
      <w:r w:rsidR="00FF5764">
        <w:t xml:space="preserve">he </w:t>
      </w:r>
      <w:r w:rsidR="001D6AD6">
        <w:t xml:space="preserve">British Dietetic Association </w:t>
      </w:r>
      <w:r w:rsidR="008966E4">
        <w:t xml:space="preserve">(BDA) </w:t>
      </w:r>
      <w:r w:rsidR="00F03DFD">
        <w:t>“</w:t>
      </w:r>
      <w:r w:rsidR="00F7020F">
        <w:t>P</w:t>
      </w:r>
      <w:r w:rsidR="006A2AAC">
        <w:t xml:space="preserve">ost </w:t>
      </w:r>
      <w:r w:rsidR="00F7020F">
        <w:t>R</w:t>
      </w:r>
      <w:r w:rsidR="006A2AAC">
        <w:t xml:space="preserve">egistration </w:t>
      </w:r>
      <w:r w:rsidR="00F7020F">
        <w:t>D</w:t>
      </w:r>
      <w:r w:rsidR="006A2AAC">
        <w:t xml:space="preserve">evelopment </w:t>
      </w:r>
      <w:r w:rsidR="00F7020F">
        <w:t>F</w:t>
      </w:r>
      <w:r w:rsidR="006A2AAC">
        <w:t>ramework</w:t>
      </w:r>
      <w:r w:rsidR="00F03DFD">
        <w:t>”</w:t>
      </w:r>
      <w:r w:rsidR="008966E4">
        <w:t xml:space="preserve"> </w:t>
      </w:r>
      <w:r w:rsidR="00C8111A">
        <w:t>2021</w:t>
      </w:r>
      <w:r w:rsidR="00D66764" w:rsidRPr="00C03BB7">
        <w:rPr>
          <w:vertAlign w:val="superscript"/>
        </w:rPr>
        <w:t>(2</w:t>
      </w:r>
      <w:r w:rsidR="00D66764" w:rsidRPr="00D66764">
        <w:rPr>
          <w:vertAlign w:val="superscript"/>
        </w:rPr>
        <w:t>)</w:t>
      </w:r>
      <w:r w:rsidR="00D66764">
        <w:t>.</w:t>
      </w:r>
      <w:r w:rsidR="00691DE8">
        <w:t xml:space="preserve"> Th</w:t>
      </w:r>
      <w:r w:rsidR="004B5DB4">
        <w:t xml:space="preserve">e BDA </w:t>
      </w:r>
      <w:r w:rsidR="00691DE8">
        <w:t>document</w:t>
      </w:r>
      <w:r w:rsidR="006A2AAC">
        <w:t xml:space="preserve"> outline</w:t>
      </w:r>
      <w:r w:rsidR="004A7F9B">
        <w:t>s</w:t>
      </w:r>
      <w:r w:rsidR="006A2AAC">
        <w:t xml:space="preserve"> competency and career development pathways for dietitians and detail</w:t>
      </w:r>
      <w:r w:rsidR="004A7F9B">
        <w:t>s</w:t>
      </w:r>
      <w:r w:rsidR="006A2AAC">
        <w:t xml:space="preserve"> the core skills and activities required of dietitians at various levels</w:t>
      </w:r>
      <w:r w:rsidR="00DB4C8A">
        <w:t xml:space="preserve"> from entry level through to consultant level</w:t>
      </w:r>
      <w:r w:rsidR="00FB2033">
        <w:t xml:space="preserve"> regardless of the dietetic specialty</w:t>
      </w:r>
      <w:r w:rsidR="006A2AAC">
        <w:t>.</w:t>
      </w:r>
      <w:r w:rsidR="00AE7B0F">
        <w:t xml:space="preserve"> B</w:t>
      </w:r>
      <w:r w:rsidR="00691DE8">
        <w:t xml:space="preserve">oth documents </w:t>
      </w:r>
      <w:r w:rsidR="00794EAA">
        <w:t xml:space="preserve">should </w:t>
      </w:r>
      <w:r w:rsidR="00AE7B0F">
        <w:t xml:space="preserve">therefore </w:t>
      </w:r>
      <w:r w:rsidR="00794EAA">
        <w:t>be</w:t>
      </w:r>
      <w:r w:rsidR="00691DE8">
        <w:t xml:space="preserve"> used</w:t>
      </w:r>
      <w:r w:rsidR="00DB4C8A">
        <w:t xml:space="preserve"> </w:t>
      </w:r>
      <w:r w:rsidR="00691DE8">
        <w:t xml:space="preserve">together </w:t>
      </w:r>
      <w:r w:rsidR="000E2EB1">
        <w:t>for the purpose of</w:t>
      </w:r>
      <w:r w:rsidR="004B5DB4">
        <w:t xml:space="preserve"> personal professional development and </w:t>
      </w:r>
      <w:r w:rsidR="000E2EB1">
        <w:t>managin</w:t>
      </w:r>
      <w:r w:rsidR="0013416C">
        <w:t>g</w:t>
      </w:r>
      <w:r w:rsidR="000E2EB1">
        <w:t xml:space="preserve"> </w:t>
      </w:r>
      <w:r w:rsidR="004B5DB4">
        <w:t>or</w:t>
      </w:r>
      <w:r w:rsidR="000E2EB1">
        <w:t xml:space="preserve"> commissioning dietetic services in HIV</w:t>
      </w:r>
      <w:r w:rsidR="0013416C">
        <w:t xml:space="preserve">. </w:t>
      </w:r>
      <w:r w:rsidR="00DB4C8A">
        <w:t xml:space="preserve"> </w:t>
      </w:r>
    </w:p>
    <w:p w14:paraId="34F922A0" w14:textId="5771B709" w:rsidR="006A2AAC" w:rsidRDefault="006A2AAC" w:rsidP="006A2AAC">
      <w:r>
        <w:t xml:space="preserve">The primary use of </w:t>
      </w:r>
      <w:r w:rsidR="00691DE8">
        <w:t>the HIV competency framework</w:t>
      </w:r>
      <w:r>
        <w:t xml:space="preserve"> will be in the personal development of dietitians working in HIV care. It can be used to identify learning needs as part of an induction to a new role, as a </w:t>
      </w:r>
      <w:r w:rsidR="004B5DB4">
        <w:t>proforma</w:t>
      </w:r>
      <w:r>
        <w:t xml:space="preserve"> to collect evidence of competence in areas of practice</w:t>
      </w:r>
      <w:r w:rsidR="00B6417A">
        <w:t>,</w:t>
      </w:r>
      <w:r>
        <w:t xml:space="preserve"> </w:t>
      </w:r>
      <w:r w:rsidR="00B6417A">
        <w:t xml:space="preserve">or </w:t>
      </w:r>
      <w:r>
        <w:t xml:space="preserve">as part of clinical supervision to ensure dietitians are working at </w:t>
      </w:r>
      <w:r w:rsidR="00B6417A">
        <w:t>an appropriate level</w:t>
      </w:r>
      <w:r>
        <w:t>.</w:t>
      </w:r>
      <w:r w:rsidR="00F03DFD" w:rsidDel="00F03DFD">
        <w:t xml:space="preserve"> </w:t>
      </w:r>
      <w:r>
        <w:t>Given</w:t>
      </w:r>
      <w:r w:rsidR="0024116F">
        <w:t xml:space="preserve"> that</w:t>
      </w:r>
      <w:r>
        <w:t xml:space="preserve"> many dietitians working in HIV work independently, without direct clinical supervision or peer support within their individual organisations, this framework aims to provide </w:t>
      </w:r>
      <w:r w:rsidR="00B6417A">
        <w:t xml:space="preserve">expert </w:t>
      </w:r>
      <w:r>
        <w:t>guidance on required knowledge and skills to help close that gap</w:t>
      </w:r>
      <w:r w:rsidR="00DB4C8A">
        <w:t>.</w:t>
      </w:r>
      <w:r w:rsidR="00B6417A">
        <w:t xml:space="preserve"> </w:t>
      </w:r>
      <w:r>
        <w:t xml:space="preserve">The </w:t>
      </w:r>
      <w:r w:rsidR="008D5F54">
        <w:t xml:space="preserve">BDA </w:t>
      </w:r>
      <w:r w:rsidR="00B6417A">
        <w:t xml:space="preserve">HIV Care </w:t>
      </w:r>
      <w:r w:rsidR="008D5F54">
        <w:t>Specialist Group</w:t>
      </w:r>
      <w:r w:rsidR="00D66764">
        <w:rPr>
          <w:vertAlign w:val="superscript"/>
        </w:rPr>
        <w:t>(3)</w:t>
      </w:r>
      <w:r w:rsidR="008D5F54">
        <w:t xml:space="preserve"> in addition to developing</w:t>
      </w:r>
      <w:r w:rsidR="00912BBF">
        <w:t xml:space="preserve"> and keeping</w:t>
      </w:r>
      <w:r w:rsidR="008D5F54">
        <w:t xml:space="preserve"> th</w:t>
      </w:r>
      <w:r w:rsidR="004B5DB4">
        <w:t>is</w:t>
      </w:r>
      <w:r w:rsidR="008D5F54">
        <w:t xml:space="preserve"> competency framework</w:t>
      </w:r>
      <w:r w:rsidR="00912BBF">
        <w:t xml:space="preserve"> up to date</w:t>
      </w:r>
      <w:r w:rsidR="008D5F54">
        <w:t>, also exist</w:t>
      </w:r>
      <w:r w:rsidR="00F11BDF">
        <w:t>s</w:t>
      </w:r>
      <w:r>
        <w:t xml:space="preserve"> to provide a network for peer support and professional development opportunities for dietitians working in HIV.</w:t>
      </w:r>
    </w:p>
    <w:p w14:paraId="54B21889" w14:textId="24C56E2D" w:rsidR="006A2AAC" w:rsidRDefault="00EF610A">
      <w:pPr>
        <w:pStyle w:val="Heading2"/>
        <w:numPr>
          <w:ilvl w:val="1"/>
          <w:numId w:val="19"/>
        </w:numPr>
      </w:pPr>
      <w:bookmarkStart w:id="5" w:name="_Toc125983078"/>
      <w:r>
        <w:t xml:space="preserve">Significant </w:t>
      </w:r>
      <w:r w:rsidR="00CD3F9A">
        <w:t>u</w:t>
      </w:r>
      <w:r>
        <w:t>pdates</w:t>
      </w:r>
      <w:bookmarkEnd w:id="5"/>
    </w:p>
    <w:p w14:paraId="5855AB63" w14:textId="4BC40970" w:rsidR="0013416C" w:rsidRDefault="0013416C" w:rsidP="007F046D">
      <w:r>
        <w:t>The first competency framework for dietitians working in HIV care was published in 2014</w:t>
      </w:r>
      <w:r w:rsidRPr="0013416C">
        <w:rPr>
          <w:vertAlign w:val="superscript"/>
        </w:rPr>
        <w:t>(4)</w:t>
      </w:r>
      <w:r>
        <w:t>. The updated document is based on the original framework however is an extensive re-structuring and re-writing with the aim to create a more user-friendly and streamlined document.</w:t>
      </w:r>
    </w:p>
    <w:p w14:paraId="47821008" w14:textId="0F59FEAD" w:rsidR="00CE1C25" w:rsidRPr="006B5D7C" w:rsidRDefault="00CE1C25" w:rsidP="006A2AAC">
      <w:pPr>
        <w:rPr>
          <w:b/>
          <w:bCs/>
        </w:rPr>
      </w:pPr>
      <w:r w:rsidRPr="006B5D7C">
        <w:rPr>
          <w:b/>
          <w:bCs/>
        </w:rPr>
        <w:t>Remov</w:t>
      </w:r>
      <w:r w:rsidR="004372FE" w:rsidRPr="006B5D7C">
        <w:rPr>
          <w:b/>
          <w:bCs/>
        </w:rPr>
        <w:t>al</w:t>
      </w:r>
      <w:r w:rsidRPr="006B5D7C">
        <w:rPr>
          <w:b/>
          <w:bCs/>
        </w:rPr>
        <w:t xml:space="preserve"> of competency levels (</w:t>
      </w:r>
      <w:r w:rsidR="008940FF" w:rsidRPr="006B5D7C">
        <w:rPr>
          <w:b/>
          <w:bCs/>
        </w:rPr>
        <w:t xml:space="preserve">NHS </w:t>
      </w:r>
      <w:r w:rsidRPr="006B5D7C">
        <w:rPr>
          <w:b/>
          <w:bCs/>
        </w:rPr>
        <w:t>band 4-8)</w:t>
      </w:r>
    </w:p>
    <w:p w14:paraId="3EE148BE" w14:textId="341CFCEE" w:rsidR="00D37DD8" w:rsidRDefault="0013416C" w:rsidP="006A2AAC">
      <w:r>
        <w:t>The 2014 document</w:t>
      </w:r>
      <w:r w:rsidR="004223A4">
        <w:t xml:space="preserve"> speci</w:t>
      </w:r>
      <w:r>
        <w:t>fied level of</w:t>
      </w:r>
      <w:r w:rsidR="004223A4">
        <w:t xml:space="preserve"> competenc</w:t>
      </w:r>
      <w:r>
        <w:t>y</w:t>
      </w:r>
      <w:r w:rsidR="004223A4">
        <w:t xml:space="preserve"> for HIV dietitians and dietetic assistants across different </w:t>
      </w:r>
      <w:r w:rsidR="00CE1C25">
        <w:t xml:space="preserve">capability </w:t>
      </w:r>
      <w:r w:rsidR="004223A4">
        <w:t xml:space="preserve">levels from NHS </w:t>
      </w:r>
      <w:r w:rsidR="000C46E3">
        <w:t>b</w:t>
      </w:r>
      <w:r w:rsidR="004223A4">
        <w:t xml:space="preserve">and 4 through to band 8. </w:t>
      </w:r>
      <w:r>
        <w:t xml:space="preserve"> This re-write has </w:t>
      </w:r>
      <w:r w:rsidR="00A2786A">
        <w:t>remov</w:t>
      </w:r>
      <w:r>
        <w:t>ed</w:t>
      </w:r>
      <w:r w:rsidR="00CE1C25">
        <w:t xml:space="preserve"> </w:t>
      </w:r>
      <w:r w:rsidR="000C46E3">
        <w:t>the different levels</w:t>
      </w:r>
      <w:r w:rsidR="00D37DD8">
        <w:t>. The authors agreed that th</w:t>
      </w:r>
      <w:r w:rsidR="00CE1C25">
        <w:t xml:space="preserve">e </w:t>
      </w:r>
      <w:r w:rsidR="006A2AAC">
        <w:t>BDA</w:t>
      </w:r>
      <w:r w:rsidR="00FB2033">
        <w:t>’s</w:t>
      </w:r>
      <w:r w:rsidR="006A2AAC">
        <w:t xml:space="preserve"> “Post Registration Professional Development </w:t>
      </w:r>
      <w:r w:rsidR="00716483">
        <w:t>Framework”</w:t>
      </w:r>
      <w:r w:rsidR="00716483">
        <w:rPr>
          <w:vertAlign w:val="superscript"/>
        </w:rPr>
        <w:t xml:space="preserve"> (</w:t>
      </w:r>
      <w:r w:rsidR="00D66764">
        <w:rPr>
          <w:vertAlign w:val="superscript"/>
        </w:rPr>
        <w:t>2)</w:t>
      </w:r>
      <w:r w:rsidR="006A2AAC">
        <w:t xml:space="preserve"> </w:t>
      </w:r>
      <w:r w:rsidR="00D37DD8">
        <w:t>provides a clear outline of expectation of skill and knowledge at different levels</w:t>
      </w:r>
      <w:r w:rsidR="00D37DD8" w:rsidRPr="00D37DD8">
        <w:t xml:space="preserve"> </w:t>
      </w:r>
      <w:r w:rsidR="00D37DD8">
        <w:t xml:space="preserve">and that this did not need to be duplicated in this HIV specific framework.   </w:t>
      </w:r>
    </w:p>
    <w:p w14:paraId="6A1FCED3" w14:textId="1B0EEF87" w:rsidR="007121A8" w:rsidRDefault="00D37DD8" w:rsidP="006A2AAC">
      <w:r>
        <w:t xml:space="preserve">The BDA framework </w:t>
      </w:r>
      <w:r w:rsidR="002E7164">
        <w:t xml:space="preserve">is </w:t>
      </w:r>
      <w:r w:rsidR="000C46E3">
        <w:t>an important document for dietitians looking to advance to more specialist levels in their practice, and those involved in commissioning dietetic services.</w:t>
      </w:r>
      <w:r w:rsidR="0072706D">
        <w:t xml:space="preserve"> </w:t>
      </w:r>
      <w:r w:rsidR="004223A4">
        <w:t>It</w:t>
      </w:r>
      <w:r w:rsidR="0072706D">
        <w:t xml:space="preserve"> provide</w:t>
      </w:r>
      <w:r w:rsidR="004223A4">
        <w:t>s</w:t>
      </w:r>
      <w:r w:rsidR="002207D5">
        <w:t xml:space="preserve"> </w:t>
      </w:r>
      <w:r w:rsidR="006A2AAC">
        <w:t xml:space="preserve">a </w:t>
      </w:r>
      <w:r w:rsidR="00FB2033">
        <w:t xml:space="preserve">clear </w:t>
      </w:r>
      <w:r w:rsidR="006A2AAC">
        <w:t>framework for career development</w:t>
      </w:r>
      <w:r w:rsidR="0072706D">
        <w:t xml:space="preserve">, </w:t>
      </w:r>
      <w:r w:rsidR="00FB2033">
        <w:t>outlin</w:t>
      </w:r>
      <w:r w:rsidR="0072706D">
        <w:t xml:space="preserve">ing </w:t>
      </w:r>
      <w:r w:rsidR="00FB2033">
        <w:t xml:space="preserve">required </w:t>
      </w:r>
      <w:r w:rsidR="0072706D">
        <w:t xml:space="preserve">dietetic </w:t>
      </w:r>
      <w:r w:rsidR="00FB2033">
        <w:t>competencies</w:t>
      </w:r>
      <w:r w:rsidR="006A2AAC">
        <w:t xml:space="preserve"> across four different pillars of practice (clinical practice, </w:t>
      </w:r>
      <w:r w:rsidR="0056042A">
        <w:t>evidence-based</w:t>
      </w:r>
      <w:r w:rsidR="006A2AAC">
        <w:t xml:space="preserve"> practice and research, facilitated learning</w:t>
      </w:r>
      <w:r w:rsidR="0072706D">
        <w:t>,</w:t>
      </w:r>
      <w:r w:rsidR="006A2AAC">
        <w:t xml:space="preserve"> and leadership) </w:t>
      </w:r>
      <w:r>
        <w:t xml:space="preserve">and at four different levels of capability (entry, enhanced, advanced and consultant level) </w:t>
      </w:r>
    </w:p>
    <w:p w14:paraId="4D48B214" w14:textId="433E4DBF" w:rsidR="006A2AAC" w:rsidRDefault="004372FE" w:rsidP="006A2AAC">
      <w:r>
        <w:t xml:space="preserve">To enable the two </w:t>
      </w:r>
      <w:r w:rsidR="007121A8">
        <w:t xml:space="preserve">documents to be </w:t>
      </w:r>
      <w:r>
        <w:t xml:space="preserve">easily </w:t>
      </w:r>
      <w:r w:rsidR="007121A8">
        <w:t>used in conjunction with one another</w:t>
      </w:r>
      <w:r>
        <w:t xml:space="preserve"> </w:t>
      </w:r>
      <w:r w:rsidR="001C028C">
        <w:t xml:space="preserve">we have provided a </w:t>
      </w:r>
      <w:r w:rsidR="00CE1C25">
        <w:t xml:space="preserve">quick reference </w:t>
      </w:r>
      <w:r w:rsidR="007121A8">
        <w:t xml:space="preserve">table </w:t>
      </w:r>
      <w:r w:rsidR="00CE1C25">
        <w:t>which summarises</w:t>
      </w:r>
      <w:r w:rsidR="007121A8">
        <w:t xml:space="preserve"> the BDA document</w:t>
      </w:r>
      <w:r w:rsidR="00936943">
        <w:t xml:space="preserve"> (Table 1)</w:t>
      </w:r>
      <w:r>
        <w:t>. This</w:t>
      </w:r>
      <w:r w:rsidR="00CE1C25">
        <w:t xml:space="preserve"> </w:t>
      </w:r>
      <w:r w:rsidR="004E39A8">
        <w:t>enables</w:t>
      </w:r>
      <w:r w:rsidR="00CE1C25">
        <w:t xml:space="preserve"> the </w:t>
      </w:r>
      <w:r>
        <w:t>user</w:t>
      </w:r>
      <w:r w:rsidR="00CE1C25">
        <w:t xml:space="preserve"> to </w:t>
      </w:r>
      <w:r w:rsidR="00936943">
        <w:t>understand</w:t>
      </w:r>
      <w:r w:rsidR="00CE1C25">
        <w:t xml:space="preserve"> the expectations of </w:t>
      </w:r>
      <w:r>
        <w:t>dietitians</w:t>
      </w:r>
      <w:r w:rsidR="00CE1C25">
        <w:t xml:space="preserve"> at </w:t>
      </w:r>
      <w:r>
        <w:t>each of the different</w:t>
      </w:r>
      <w:r w:rsidR="00CE1C25">
        <w:t xml:space="preserve"> level</w:t>
      </w:r>
      <w:r>
        <w:t>s of capability and</w:t>
      </w:r>
      <w:r w:rsidR="001C028C">
        <w:t xml:space="preserve"> </w:t>
      </w:r>
      <w:r w:rsidR="004B5DB4">
        <w:t>help</w:t>
      </w:r>
      <w:r w:rsidR="001C028C">
        <w:t xml:space="preserve"> this</w:t>
      </w:r>
      <w:r w:rsidR="006A2AAC">
        <w:t xml:space="preserve"> HIV competency framework </w:t>
      </w:r>
      <w:r w:rsidR="001C028C">
        <w:t>to</w:t>
      </w:r>
      <w:r w:rsidR="002207D5">
        <w:t xml:space="preserve"> be</w:t>
      </w:r>
      <w:r w:rsidR="006A2AAC">
        <w:t xml:space="preserve"> </w:t>
      </w:r>
      <w:r w:rsidR="001C028C">
        <w:t>a</w:t>
      </w:r>
      <w:r w:rsidR="002207D5">
        <w:t xml:space="preserve"> </w:t>
      </w:r>
      <w:r w:rsidR="006A2AAC">
        <w:t xml:space="preserve">practical </w:t>
      </w:r>
      <w:r w:rsidR="002207D5">
        <w:t xml:space="preserve">and workable </w:t>
      </w:r>
      <w:r w:rsidR="006A2AAC">
        <w:t xml:space="preserve">document outlining specific areas of expertise needed </w:t>
      </w:r>
      <w:r w:rsidR="002207D5">
        <w:t xml:space="preserve">to </w:t>
      </w:r>
      <w:r w:rsidR="006A2AAC">
        <w:t>progress</w:t>
      </w:r>
      <w:r w:rsidR="002207D5">
        <w:t xml:space="preserve"> a</w:t>
      </w:r>
      <w:r w:rsidR="006A2AAC">
        <w:t xml:space="preserve"> role in HIV</w:t>
      </w:r>
      <w:r w:rsidR="004B5DB4">
        <w:t xml:space="preserve"> care</w:t>
      </w:r>
      <w:r w:rsidR="006A2AAC">
        <w:t xml:space="preserve">. </w:t>
      </w:r>
    </w:p>
    <w:p w14:paraId="4A8D52E8" w14:textId="77777777" w:rsidR="004372FE" w:rsidRPr="007F046D" w:rsidRDefault="004372FE" w:rsidP="00D9752E">
      <w:pPr>
        <w:spacing w:after="200" w:line="276" w:lineRule="auto"/>
        <w:rPr>
          <w:b/>
          <w:bCs/>
        </w:rPr>
      </w:pPr>
      <w:r w:rsidRPr="007F046D">
        <w:rPr>
          <w:b/>
          <w:bCs/>
        </w:rPr>
        <w:t xml:space="preserve">Removal of </w:t>
      </w:r>
      <w:r w:rsidR="00CE1C25" w:rsidRPr="007F046D">
        <w:rPr>
          <w:b/>
          <w:bCs/>
        </w:rPr>
        <w:t>competencies not specific to HIV care</w:t>
      </w:r>
    </w:p>
    <w:p w14:paraId="13AEE82A" w14:textId="1E9728B8" w:rsidR="00D9752E" w:rsidRDefault="00D9752E" w:rsidP="00D9752E">
      <w:pPr>
        <w:spacing w:after="200" w:line="276" w:lineRule="auto"/>
      </w:pPr>
      <w:r>
        <w:t>We have also removed competenc</w:t>
      </w:r>
      <w:r w:rsidR="00716483">
        <w:t>y tables</w:t>
      </w:r>
      <w:r>
        <w:t xml:space="preserve"> on communication and behavioural approaches, teaching and l</w:t>
      </w:r>
      <w:r w:rsidR="00716483">
        <w:t>ear</w:t>
      </w:r>
      <w:r>
        <w:t>ning, evaluation, audit and research and leadership</w:t>
      </w:r>
      <w:r w:rsidR="00812489">
        <w:t xml:space="preserve"> which </w:t>
      </w:r>
      <w:r w:rsidR="004B5DB4">
        <w:t>are</w:t>
      </w:r>
      <w:r w:rsidR="00812489">
        <w:t xml:space="preserve"> not specific to the speciality of HIV</w:t>
      </w:r>
      <w:r w:rsidR="00716483">
        <w:t>. They remain of great</w:t>
      </w:r>
      <w:r>
        <w:t xml:space="preserve"> importance to the role of the HIV </w:t>
      </w:r>
      <w:r w:rsidR="003716F4">
        <w:t>dietitian</w:t>
      </w:r>
      <w:r w:rsidR="00716483">
        <w:t xml:space="preserve"> </w:t>
      </w:r>
      <w:r w:rsidR="004E39A8">
        <w:t>and</w:t>
      </w:r>
      <w:r w:rsidR="008940FF">
        <w:t xml:space="preserve"> </w:t>
      </w:r>
      <w:r>
        <w:t xml:space="preserve">are covered in detail in the BDA </w:t>
      </w:r>
      <w:r w:rsidR="00023B83">
        <w:t>fram</w:t>
      </w:r>
      <w:r w:rsidR="00F11BDF">
        <w:t>e</w:t>
      </w:r>
      <w:r w:rsidR="00023B83">
        <w:t>work</w:t>
      </w:r>
      <w:r w:rsidR="004B5DB4">
        <w:rPr>
          <w:vertAlign w:val="superscript"/>
        </w:rPr>
        <w:t>(2)</w:t>
      </w:r>
      <w:r w:rsidR="004B5DB4">
        <w:t>.</w:t>
      </w:r>
      <w:r>
        <w:t xml:space="preserve"> </w:t>
      </w:r>
    </w:p>
    <w:p w14:paraId="44E15EDD" w14:textId="13032F08" w:rsidR="00812489" w:rsidRPr="007F046D" w:rsidRDefault="00812489" w:rsidP="00D9752E">
      <w:pPr>
        <w:spacing w:after="200" w:line="276" w:lineRule="auto"/>
        <w:rPr>
          <w:b/>
          <w:bCs/>
        </w:rPr>
      </w:pPr>
      <w:r w:rsidRPr="007F046D">
        <w:rPr>
          <w:b/>
          <w:bCs/>
        </w:rPr>
        <w:t>The Dietetic Care Process</w:t>
      </w:r>
    </w:p>
    <w:p w14:paraId="70F99AD1" w14:textId="55595B08" w:rsidR="006A2AAC" w:rsidRDefault="004E39A8" w:rsidP="006A2AAC">
      <w:r>
        <w:t>A</w:t>
      </w:r>
      <w:r w:rsidR="001C028C">
        <w:t>dditions to th</w:t>
      </w:r>
      <w:r w:rsidR="00F11BDF">
        <w:t>is</w:t>
      </w:r>
      <w:r w:rsidR="001C028C">
        <w:t xml:space="preserve"> </w:t>
      </w:r>
      <w:r w:rsidR="00023B83">
        <w:t>document</w:t>
      </w:r>
      <w:r w:rsidR="001C028C">
        <w:t xml:space="preserve"> include the </w:t>
      </w:r>
      <w:r w:rsidR="006A2AAC">
        <w:t>incorporat</w:t>
      </w:r>
      <w:r w:rsidR="001C028C">
        <w:t>ion of</w:t>
      </w:r>
      <w:r w:rsidR="006A2AAC">
        <w:t xml:space="preserve"> th</w:t>
      </w:r>
      <w:r w:rsidR="0056042A">
        <w:t>e</w:t>
      </w:r>
      <w:r w:rsidR="006A2AAC">
        <w:t xml:space="preserve"> </w:t>
      </w:r>
      <w:r w:rsidR="000F2980">
        <w:t xml:space="preserve">model and </w:t>
      </w:r>
      <w:r w:rsidR="006A2AAC">
        <w:t>process</w:t>
      </w:r>
      <w:r w:rsidR="000F2980">
        <w:t xml:space="preserve"> of dietetic practice</w:t>
      </w:r>
      <w:r w:rsidR="000F2980">
        <w:rPr>
          <w:vertAlign w:val="superscript"/>
        </w:rPr>
        <w:t>(5)</w:t>
      </w:r>
      <w:r w:rsidR="001C028C">
        <w:t>.</w:t>
      </w:r>
      <w:r w:rsidR="006A2AAC">
        <w:t xml:space="preserve"> Since 2014, the dietetic care process has become the mainstay of pre-registration education and clinical practice</w:t>
      </w:r>
      <w:r w:rsidR="00FF280E">
        <w:t xml:space="preserve"> and</w:t>
      </w:r>
      <w:r w:rsidR="00FF5764">
        <w:t xml:space="preserve"> </w:t>
      </w:r>
      <w:r w:rsidR="00FF280E">
        <w:t>w</w:t>
      </w:r>
      <w:r w:rsidR="006A2AAC">
        <w:t>e have reflected this by creating a section on Nutritional Assessment and Care planning</w:t>
      </w:r>
      <w:r w:rsidR="0044042C">
        <w:t xml:space="preserve"> to demonstrate </w:t>
      </w:r>
      <w:r w:rsidR="007A2721">
        <w:t>it</w:t>
      </w:r>
      <w:r w:rsidR="00F11BDF">
        <w:t>s</w:t>
      </w:r>
      <w:r w:rsidR="0044042C">
        <w:t xml:space="preserve"> appl</w:t>
      </w:r>
      <w:r w:rsidR="00F11BDF">
        <w:t>ication</w:t>
      </w:r>
      <w:r w:rsidR="0044042C">
        <w:t xml:space="preserve"> in HIV </w:t>
      </w:r>
      <w:r w:rsidR="007A2721">
        <w:t xml:space="preserve">dietetic </w:t>
      </w:r>
      <w:r w:rsidR="0044042C">
        <w:t>care</w:t>
      </w:r>
      <w:r w:rsidR="006A2AAC">
        <w:t>.</w:t>
      </w:r>
      <w:r w:rsidR="00D9752E">
        <w:t xml:space="preserve"> </w:t>
      </w:r>
    </w:p>
    <w:p w14:paraId="54D4DC4A" w14:textId="0926B5A1" w:rsidR="00812489" w:rsidRPr="007F046D" w:rsidRDefault="004E39A8" w:rsidP="006A2AAC">
      <w:pPr>
        <w:rPr>
          <w:u w:val="single"/>
        </w:rPr>
      </w:pPr>
      <w:r>
        <w:rPr>
          <w:b/>
          <w:bCs/>
        </w:rPr>
        <w:t>Changes in HIV Care</w:t>
      </w:r>
    </w:p>
    <w:p w14:paraId="32B52782" w14:textId="0F854D79" w:rsidR="006A2AAC" w:rsidRDefault="006A2AAC" w:rsidP="006A2AAC">
      <w:r>
        <w:t>Recent changes in HIV care have been reflected in the current document as best as possible, with a particular emphasis on obesity management and the role of certain ARVs in causing weight gain.</w:t>
      </w:r>
      <w:r w:rsidR="00792572">
        <w:t xml:space="preserve"> Due to recent advances in the treatment of Hepatitis C then dietitians are seeing far fewer Hep C/ HIV co-infected patients therefore this was removed from the liver disease section</w:t>
      </w:r>
    </w:p>
    <w:p w14:paraId="6E6923A7" w14:textId="68845FD4" w:rsidR="00936943" w:rsidRPr="007F046D" w:rsidRDefault="00936943" w:rsidP="006A2AAC">
      <w:pPr>
        <w:rPr>
          <w:b/>
          <w:bCs/>
        </w:rPr>
      </w:pPr>
      <w:r w:rsidRPr="007F046D">
        <w:rPr>
          <w:b/>
          <w:bCs/>
        </w:rPr>
        <w:t>Dietetic assistants</w:t>
      </w:r>
    </w:p>
    <w:p w14:paraId="3EA00494" w14:textId="3B33B79D" w:rsidR="003C3ABC" w:rsidRDefault="003C3ABC" w:rsidP="003C3ABC">
      <w:r>
        <w:t xml:space="preserve">While the document is intended to be a guide for all those working in dietetic care in HIV, in the interest of keeping it concise, it does not specify competencies or skills for dietetic assistants. There is a </w:t>
      </w:r>
      <w:r w:rsidR="00885F59">
        <w:t xml:space="preserve">separate </w:t>
      </w:r>
      <w:r>
        <w:t>BDA framework</w:t>
      </w:r>
      <w:r w:rsidR="000F2980" w:rsidRPr="00C03BB7">
        <w:rPr>
          <w:vertAlign w:val="superscript"/>
        </w:rPr>
        <w:t>(6)</w:t>
      </w:r>
      <w:r w:rsidRPr="000526F5">
        <w:t xml:space="preserve"> </w:t>
      </w:r>
      <w:r>
        <w:t>for career development</w:t>
      </w:r>
      <w:r w:rsidR="00885F59">
        <w:t xml:space="preserve"> and</w:t>
      </w:r>
      <w:r>
        <w:t xml:space="preserve"> knowledge and skills for dietetic assistants which can be used in the training and supervision of dietetic assistants working in the area of HIV.</w:t>
      </w:r>
    </w:p>
    <w:p w14:paraId="6AB96923" w14:textId="50728486" w:rsidR="006A2AAC" w:rsidRDefault="006A2AAC">
      <w:pPr>
        <w:pStyle w:val="Heading2"/>
        <w:numPr>
          <w:ilvl w:val="1"/>
          <w:numId w:val="19"/>
        </w:numPr>
      </w:pPr>
      <w:bookmarkStart w:id="6" w:name="_Toc125983079"/>
      <w:r>
        <w:t xml:space="preserve">How to use this </w:t>
      </w:r>
      <w:r w:rsidR="00CD3F9A">
        <w:t>d</w:t>
      </w:r>
      <w:r>
        <w:t>ocument</w:t>
      </w:r>
      <w:bookmarkEnd w:id="6"/>
    </w:p>
    <w:p w14:paraId="268B14AE" w14:textId="14767E8D" w:rsidR="006A2AAC" w:rsidRDefault="006A2AAC" w:rsidP="006A2AAC">
      <w:r>
        <w:t xml:space="preserve">This document is designed to be used as part of a supervision process to identify the dietitian’s knowledge and skills and highlight learning and development needs. It should be used alongside local appraisal paperwork and the </w:t>
      </w:r>
      <w:r w:rsidR="00936943">
        <w:t>‘</w:t>
      </w:r>
      <w:r>
        <w:t>BDA Post Registration Professional Development Framework</w:t>
      </w:r>
      <w:r w:rsidR="00936943">
        <w:t>’</w:t>
      </w:r>
      <w:r>
        <w:t xml:space="preserve"> to provide a structure against which to measure progress.</w:t>
      </w:r>
      <w:r w:rsidR="00880CDC">
        <w:t xml:space="preserve"> </w:t>
      </w:r>
      <w:r w:rsidR="00880CDC">
        <w:rPr>
          <w:rFonts w:eastAsia="Times New Roman" w:cs="Arial"/>
          <w:bCs/>
          <w:color w:val="000000" w:themeColor="text1"/>
        </w:rPr>
        <w:t>At a minimum, annual review of achievement of competencies should be assessed by the dietitian’s line manager or clinical supervisor, although it is recommended that more frequent review is conducted.</w:t>
      </w:r>
    </w:p>
    <w:p w14:paraId="40A525E3" w14:textId="6C5D9FC6" w:rsidR="006A2AAC" w:rsidRDefault="006A2AAC" w:rsidP="006A2AAC">
      <w:r>
        <w:t>Due to the diverse nature of PLHIV</w:t>
      </w:r>
      <w:r w:rsidR="007A2721">
        <w:t xml:space="preserve"> </w:t>
      </w:r>
      <w:r w:rsidR="00A4374C">
        <w:t>including</w:t>
      </w:r>
      <w:r w:rsidR="007A2721">
        <w:t xml:space="preserve"> diversity of population groups and co-morbidities</w:t>
      </w:r>
      <w:r>
        <w:t>, not all sections will be relevant to all HIV dietitians. It is therefore up to the individual to dec</w:t>
      </w:r>
      <w:r w:rsidR="0024116F">
        <w:t>ide</w:t>
      </w:r>
      <w:r>
        <w:t xml:space="preserve"> which sections will be </w:t>
      </w:r>
      <w:r w:rsidR="00936943">
        <w:t>most</w:t>
      </w:r>
      <w:r>
        <w:t xml:space="preserve"> relevant to their </w:t>
      </w:r>
      <w:r w:rsidR="000F2980">
        <w:t>post and</w:t>
      </w:r>
      <w:r w:rsidR="006A39E1">
        <w:t xml:space="preserve"> prioritise which specific skills and knowledge areas to focus on</w:t>
      </w:r>
      <w:r>
        <w:t xml:space="preserve">. </w:t>
      </w:r>
    </w:p>
    <w:p w14:paraId="1AAB44AB" w14:textId="38D8909D" w:rsidR="006A2AAC" w:rsidRDefault="006A2AAC" w:rsidP="006A2AAC">
      <w:r>
        <w:t xml:space="preserve">The document is divided into </w:t>
      </w:r>
      <w:r w:rsidR="00A4374C">
        <w:t xml:space="preserve">five </w:t>
      </w:r>
      <w:r w:rsidR="00D9752E">
        <w:t xml:space="preserve">competency </w:t>
      </w:r>
      <w:r>
        <w:t xml:space="preserve">tables covering different areas of dietetic practice in HIV care. For each knowledge point or skill there is space to document evidence collected. Evidence can </w:t>
      </w:r>
      <w:r w:rsidR="000F5215">
        <w:t xml:space="preserve">take </w:t>
      </w:r>
      <w:r>
        <w:t>a variety of forms</w:t>
      </w:r>
      <w:r w:rsidR="00A4374C">
        <w:t xml:space="preserve"> (Appendix 1</w:t>
      </w:r>
      <w:r w:rsidR="00F92464">
        <w:t>)</w:t>
      </w:r>
      <w:r>
        <w:t xml:space="preserve"> and should </w:t>
      </w:r>
      <w:r w:rsidR="000F5215">
        <w:t xml:space="preserve">demonstrate </w:t>
      </w:r>
      <w:r>
        <w:t>the skill or knowledge competency has been met. This ensures a structured process allowing the dietitian to carefully work through the document and the</w:t>
      </w:r>
      <w:r w:rsidR="0056042A">
        <w:t xml:space="preserve"> </w:t>
      </w:r>
      <w:r>
        <w:t>supervisor to sign off each competency. A list of suggested sources of evidence has been outlined at the end of the document and a variety of sources is recommended to ensure diversity in the dietitian</w:t>
      </w:r>
      <w:r w:rsidR="0056042A">
        <w:t>’</w:t>
      </w:r>
      <w:r>
        <w:t>s professional development portfolio.</w:t>
      </w:r>
    </w:p>
    <w:p w14:paraId="195FF977" w14:textId="4F447CBD" w:rsidR="0056042A" w:rsidRDefault="00A4374C">
      <w:pPr>
        <w:pStyle w:val="Heading2"/>
        <w:numPr>
          <w:ilvl w:val="1"/>
          <w:numId w:val="19"/>
        </w:numPr>
      </w:pPr>
      <w:bookmarkStart w:id="7" w:name="_Toc125983080"/>
      <w:r>
        <w:t>Advancing Level of Capability:</w:t>
      </w:r>
      <w:r w:rsidRPr="00A4374C">
        <w:t xml:space="preserve"> </w:t>
      </w:r>
      <w:r w:rsidRPr="00BC77B7">
        <w:t>Entry, Enhanced, Advanced, Consultant</w:t>
      </w:r>
      <w:bookmarkEnd w:id="7"/>
    </w:p>
    <w:p w14:paraId="38D0F041" w14:textId="77777777" w:rsidR="002F4940" w:rsidRDefault="006A2AAC" w:rsidP="002F4940">
      <w:r>
        <w:t xml:space="preserve">It is expected that for each competency, depth of knowledge and level of skill will increase according to the level of the post and the practitioner’s experience. For example, a new graduate working with PLHIV would be expected to develop a basic level of knowledge around </w:t>
      </w:r>
      <w:r w:rsidR="003D3991">
        <w:t>anti-retroviral (</w:t>
      </w:r>
      <w:r>
        <w:t>ARV</w:t>
      </w:r>
      <w:r w:rsidR="003D3991">
        <w:t>)</w:t>
      </w:r>
      <w:r>
        <w:t xml:space="preserve"> medications to practice safely at an entry level, </w:t>
      </w:r>
      <w:r w:rsidR="00D9752E">
        <w:t xml:space="preserve">whereas </w:t>
      </w:r>
      <w:r>
        <w:t>a dietitian working at an advanced level would be expected to have much greater depth of knowledge including being able to educate others about their mode of action, side effects and drug-nutrient interactions.</w:t>
      </w:r>
      <w:r w:rsidR="004C1917">
        <w:t xml:space="preserve"> The BDA framework</w:t>
      </w:r>
      <w:r w:rsidR="000F2980">
        <w:rPr>
          <w:vertAlign w:val="superscript"/>
        </w:rPr>
        <w:t>(2)</w:t>
      </w:r>
      <w:r w:rsidR="004C1917">
        <w:t xml:space="preserve"> </w:t>
      </w:r>
      <w:r w:rsidR="00A4374C">
        <w:t>should</w:t>
      </w:r>
      <w:r w:rsidR="004C1917">
        <w:t xml:space="preserve"> be used as a guide </w:t>
      </w:r>
      <w:r w:rsidR="00A4374C">
        <w:t>to understand</w:t>
      </w:r>
      <w:r w:rsidR="004C1917">
        <w:t xml:space="preserve"> the scope of practice of the dietitian at each level and we would expect dietitians </w:t>
      </w:r>
      <w:r w:rsidR="000A72CE">
        <w:t xml:space="preserve">and their supervisors </w:t>
      </w:r>
      <w:r w:rsidR="004C1917">
        <w:t>to familiarise themselves with th</w:t>
      </w:r>
      <w:r w:rsidR="000A72CE">
        <w:t>at</w:t>
      </w:r>
      <w:r w:rsidR="004C1917">
        <w:t xml:space="preserve"> document. As a quick reference, we have provided a brief summary of the key expectations across the different levels in the table below.</w:t>
      </w:r>
    </w:p>
    <w:p w14:paraId="3A84C52D" w14:textId="7ADEAF95" w:rsidR="00A20532" w:rsidRDefault="004C1917" w:rsidP="002F4940">
      <w:pPr>
        <w:rPr>
          <w:vertAlign w:val="superscript"/>
        </w:rPr>
      </w:pPr>
      <w:r>
        <w:t xml:space="preserve"> </w:t>
      </w:r>
      <w:r w:rsidR="00A20532">
        <w:t xml:space="preserve">Table 1. </w:t>
      </w:r>
      <w:r w:rsidR="00A20532" w:rsidRPr="00B55DE0">
        <w:t xml:space="preserve">Summary of scope of practice at four </w:t>
      </w:r>
      <w:r w:rsidR="0040182E">
        <w:t xml:space="preserve">levels of </w:t>
      </w:r>
      <w:r w:rsidR="00A20532" w:rsidRPr="00B55DE0">
        <w:t>dietetic capability</w:t>
      </w:r>
      <w:r w:rsidR="00A20532" w:rsidRPr="00C03BB7">
        <w:rPr>
          <w:vertAlign w:val="superscript"/>
        </w:rPr>
        <w:t>(</w:t>
      </w:r>
      <w:r w:rsidR="000F2980" w:rsidRPr="00C03BB7">
        <w:rPr>
          <w:vertAlign w:val="superscript"/>
        </w:rPr>
        <w:t>2</w:t>
      </w:r>
      <w:r w:rsidR="00A20532" w:rsidRPr="00C03BB7">
        <w:rPr>
          <w:vertAlign w:val="superscript"/>
        </w:rPr>
        <w:t>)</w:t>
      </w:r>
      <w:r w:rsidR="002F4940">
        <w:rPr>
          <w:vertAlign w:val="superscript"/>
        </w:rPr>
        <w:t xml:space="preserve"> </w:t>
      </w:r>
    </w:p>
    <w:tbl>
      <w:tblPr>
        <w:tblStyle w:val="TableGrid"/>
        <w:tblW w:w="15593" w:type="dxa"/>
        <w:tblInd w:w="-714" w:type="dxa"/>
        <w:tblLook w:val="04A0" w:firstRow="1" w:lastRow="0" w:firstColumn="1" w:lastColumn="0" w:noHBand="0" w:noVBand="1"/>
        <w:tblCaption w:val="Summary of scope of practice at four main dietetic capability levels (BDA 2021)"/>
        <w:tblDescription w:val="Summary of scope of practice at four main dietetic capability levels (BDA 2021)"/>
      </w:tblPr>
      <w:tblGrid>
        <w:gridCol w:w="1208"/>
        <w:gridCol w:w="7014"/>
        <w:gridCol w:w="7371"/>
      </w:tblGrid>
      <w:tr w:rsidR="009664C1" w14:paraId="1686A4C4" w14:textId="77777777" w:rsidTr="006B5D7C">
        <w:trPr>
          <w:tblHeader/>
        </w:trPr>
        <w:tc>
          <w:tcPr>
            <w:tcW w:w="1208" w:type="dxa"/>
          </w:tcPr>
          <w:p w14:paraId="0C27E7D5" w14:textId="77777777" w:rsidR="009664C1" w:rsidRPr="006B5D7C" w:rsidRDefault="009664C1" w:rsidP="009664C1">
            <w:pPr>
              <w:pStyle w:val="ListParagraph"/>
              <w:spacing w:after="0" w:line="240" w:lineRule="auto"/>
              <w:ind w:left="0"/>
              <w:rPr>
                <w:b/>
                <w:sz w:val="20"/>
                <w:szCs w:val="20"/>
              </w:rPr>
            </w:pPr>
          </w:p>
        </w:tc>
        <w:tc>
          <w:tcPr>
            <w:tcW w:w="7014" w:type="dxa"/>
          </w:tcPr>
          <w:p w14:paraId="72115628" w14:textId="77777777" w:rsidR="005B34BD" w:rsidRPr="006B5D7C" w:rsidRDefault="005B34BD" w:rsidP="00974998">
            <w:pPr>
              <w:pStyle w:val="ListParagraph"/>
              <w:spacing w:after="0" w:line="240" w:lineRule="auto"/>
              <w:ind w:left="0"/>
              <w:rPr>
                <w:b/>
                <w:sz w:val="20"/>
                <w:szCs w:val="20"/>
              </w:rPr>
            </w:pPr>
          </w:p>
          <w:p w14:paraId="28D15F51" w14:textId="77777777" w:rsidR="005B34BD" w:rsidRPr="006B5D7C" w:rsidRDefault="005B34BD" w:rsidP="00974998">
            <w:pPr>
              <w:pStyle w:val="ListParagraph"/>
              <w:spacing w:after="0" w:line="240" w:lineRule="auto"/>
              <w:ind w:left="0"/>
              <w:rPr>
                <w:b/>
                <w:sz w:val="20"/>
                <w:szCs w:val="20"/>
              </w:rPr>
            </w:pPr>
          </w:p>
          <w:p w14:paraId="720CFB5E" w14:textId="6DD53EA6" w:rsidR="009664C1" w:rsidRPr="006B5D7C" w:rsidRDefault="009664C1" w:rsidP="00974998">
            <w:pPr>
              <w:pStyle w:val="ListParagraph"/>
              <w:spacing w:after="0" w:line="240" w:lineRule="auto"/>
              <w:ind w:left="0"/>
              <w:rPr>
                <w:i/>
                <w:sz w:val="20"/>
                <w:szCs w:val="20"/>
              </w:rPr>
            </w:pPr>
            <w:r w:rsidRPr="006B5D7C">
              <w:rPr>
                <w:b/>
                <w:sz w:val="20"/>
                <w:szCs w:val="20"/>
              </w:rPr>
              <w:t>Practice: Knowledge, Skills, Communication</w:t>
            </w:r>
          </w:p>
        </w:tc>
        <w:tc>
          <w:tcPr>
            <w:tcW w:w="7371" w:type="dxa"/>
          </w:tcPr>
          <w:p w14:paraId="47C136C6" w14:textId="77777777" w:rsidR="005B34BD" w:rsidRPr="006B5D7C" w:rsidRDefault="005B34BD" w:rsidP="009664C1">
            <w:pPr>
              <w:pStyle w:val="ListParagraph"/>
              <w:spacing w:after="0" w:line="240" w:lineRule="auto"/>
              <w:ind w:left="0"/>
              <w:rPr>
                <w:b/>
                <w:sz w:val="20"/>
                <w:szCs w:val="20"/>
              </w:rPr>
            </w:pPr>
          </w:p>
          <w:p w14:paraId="77144127" w14:textId="1E233551" w:rsidR="009664C1" w:rsidRPr="006B5D7C" w:rsidRDefault="009664C1" w:rsidP="009664C1">
            <w:pPr>
              <w:pStyle w:val="ListParagraph"/>
              <w:spacing w:after="0" w:line="240" w:lineRule="auto"/>
              <w:ind w:left="0"/>
              <w:rPr>
                <w:b/>
                <w:sz w:val="20"/>
                <w:szCs w:val="20"/>
              </w:rPr>
            </w:pPr>
            <w:r w:rsidRPr="006B5D7C">
              <w:rPr>
                <w:b/>
                <w:sz w:val="20"/>
                <w:szCs w:val="20"/>
              </w:rPr>
              <w:t>Evidence-based practice &amp; Research</w:t>
            </w:r>
          </w:p>
          <w:p w14:paraId="5F1466AF" w14:textId="77777777" w:rsidR="009664C1" w:rsidRPr="006B5D7C" w:rsidRDefault="009664C1" w:rsidP="009664C1">
            <w:pPr>
              <w:pStyle w:val="ListParagraph"/>
              <w:spacing w:after="0" w:line="240" w:lineRule="auto"/>
              <w:ind w:left="0"/>
              <w:rPr>
                <w:b/>
                <w:sz w:val="20"/>
                <w:szCs w:val="20"/>
              </w:rPr>
            </w:pPr>
            <w:r w:rsidRPr="006B5D7C">
              <w:rPr>
                <w:b/>
                <w:sz w:val="20"/>
                <w:szCs w:val="20"/>
              </w:rPr>
              <w:t xml:space="preserve">Facilitated Learning </w:t>
            </w:r>
          </w:p>
          <w:p w14:paraId="0CC14734" w14:textId="77777777" w:rsidR="009664C1" w:rsidRPr="006B5D7C" w:rsidRDefault="009664C1" w:rsidP="009664C1">
            <w:pPr>
              <w:pStyle w:val="ListParagraph"/>
              <w:spacing w:after="0" w:line="240" w:lineRule="auto"/>
              <w:ind w:left="0"/>
              <w:rPr>
                <w:b/>
                <w:sz w:val="20"/>
                <w:szCs w:val="20"/>
              </w:rPr>
            </w:pPr>
            <w:r w:rsidRPr="006B5D7C">
              <w:rPr>
                <w:b/>
                <w:sz w:val="20"/>
                <w:szCs w:val="20"/>
              </w:rPr>
              <w:t>Leadership</w:t>
            </w:r>
          </w:p>
          <w:p w14:paraId="2CB4289C" w14:textId="5A5F154E" w:rsidR="005B34BD" w:rsidRPr="006B5D7C" w:rsidRDefault="005B34BD" w:rsidP="009664C1">
            <w:pPr>
              <w:pStyle w:val="ListParagraph"/>
              <w:spacing w:after="0" w:line="240" w:lineRule="auto"/>
              <w:ind w:left="0"/>
              <w:rPr>
                <w:b/>
                <w:sz w:val="20"/>
                <w:szCs w:val="20"/>
              </w:rPr>
            </w:pPr>
          </w:p>
        </w:tc>
      </w:tr>
      <w:tr w:rsidR="009664C1" w14:paraId="3F54BF6C" w14:textId="77777777" w:rsidTr="00CB7E6F">
        <w:trPr>
          <w:trHeight w:val="2865"/>
        </w:trPr>
        <w:tc>
          <w:tcPr>
            <w:tcW w:w="1208" w:type="dxa"/>
          </w:tcPr>
          <w:p w14:paraId="25852D50" w14:textId="77777777" w:rsidR="005B34BD" w:rsidRPr="006B5D7C" w:rsidRDefault="005B34BD" w:rsidP="009664C1">
            <w:pPr>
              <w:pStyle w:val="ListParagraph"/>
              <w:spacing w:after="0" w:line="240" w:lineRule="auto"/>
              <w:ind w:left="0"/>
              <w:rPr>
                <w:b/>
                <w:sz w:val="20"/>
                <w:szCs w:val="20"/>
              </w:rPr>
            </w:pPr>
          </w:p>
          <w:p w14:paraId="7BC2F09C" w14:textId="77777777" w:rsidR="005B34BD" w:rsidRPr="006B5D7C" w:rsidRDefault="005B34BD" w:rsidP="009664C1">
            <w:pPr>
              <w:pStyle w:val="ListParagraph"/>
              <w:spacing w:after="0" w:line="240" w:lineRule="auto"/>
              <w:ind w:left="0"/>
              <w:rPr>
                <w:b/>
                <w:sz w:val="20"/>
                <w:szCs w:val="20"/>
              </w:rPr>
            </w:pPr>
          </w:p>
          <w:p w14:paraId="4995B3E9" w14:textId="6ECFC276" w:rsidR="005B34BD" w:rsidRPr="006B5D7C" w:rsidRDefault="005B34BD" w:rsidP="009664C1">
            <w:pPr>
              <w:pStyle w:val="ListParagraph"/>
              <w:spacing w:after="0" w:line="240" w:lineRule="auto"/>
              <w:ind w:left="0"/>
              <w:rPr>
                <w:b/>
                <w:sz w:val="20"/>
                <w:szCs w:val="20"/>
              </w:rPr>
            </w:pPr>
          </w:p>
          <w:p w14:paraId="33640C86" w14:textId="77777777" w:rsidR="005B34BD" w:rsidRPr="006B5D7C" w:rsidRDefault="005B34BD" w:rsidP="009664C1">
            <w:pPr>
              <w:pStyle w:val="ListParagraph"/>
              <w:spacing w:after="0" w:line="240" w:lineRule="auto"/>
              <w:ind w:left="0"/>
              <w:rPr>
                <w:b/>
                <w:sz w:val="20"/>
                <w:szCs w:val="20"/>
              </w:rPr>
            </w:pPr>
          </w:p>
          <w:p w14:paraId="466BC09B" w14:textId="228453F5" w:rsidR="009664C1" w:rsidRPr="006B5D7C" w:rsidRDefault="009664C1" w:rsidP="009664C1">
            <w:pPr>
              <w:pStyle w:val="ListParagraph"/>
              <w:spacing w:after="0" w:line="240" w:lineRule="auto"/>
              <w:ind w:left="0"/>
              <w:rPr>
                <w:b/>
                <w:sz w:val="20"/>
                <w:szCs w:val="20"/>
              </w:rPr>
            </w:pPr>
            <w:r w:rsidRPr="006B5D7C">
              <w:rPr>
                <w:b/>
                <w:sz w:val="20"/>
                <w:szCs w:val="20"/>
              </w:rPr>
              <w:t>Entry level</w:t>
            </w:r>
          </w:p>
        </w:tc>
        <w:tc>
          <w:tcPr>
            <w:tcW w:w="7014" w:type="dxa"/>
          </w:tcPr>
          <w:p w14:paraId="2EC8C623" w14:textId="77777777" w:rsidR="009664C1" w:rsidRPr="006B5D7C" w:rsidRDefault="009664C1">
            <w:pPr>
              <w:pStyle w:val="ListParagraph"/>
              <w:numPr>
                <w:ilvl w:val="0"/>
                <w:numId w:val="13"/>
              </w:numPr>
              <w:spacing w:after="0" w:line="240" w:lineRule="auto"/>
              <w:rPr>
                <w:bCs/>
                <w:sz w:val="20"/>
                <w:szCs w:val="20"/>
              </w:rPr>
            </w:pPr>
            <w:r w:rsidRPr="006B5D7C">
              <w:rPr>
                <w:bCs/>
                <w:sz w:val="20"/>
                <w:szCs w:val="20"/>
              </w:rPr>
              <w:t>Basic knowledge</w:t>
            </w:r>
          </w:p>
          <w:p w14:paraId="6765FFA9" w14:textId="2004FB33" w:rsidR="009664C1" w:rsidRPr="006B5D7C" w:rsidRDefault="009664C1">
            <w:pPr>
              <w:pStyle w:val="ListParagraph"/>
              <w:numPr>
                <w:ilvl w:val="0"/>
                <w:numId w:val="13"/>
              </w:numPr>
              <w:spacing w:after="0" w:line="240" w:lineRule="auto"/>
              <w:rPr>
                <w:bCs/>
                <w:sz w:val="20"/>
                <w:szCs w:val="20"/>
              </w:rPr>
            </w:pPr>
            <w:r w:rsidRPr="006B5D7C">
              <w:rPr>
                <w:bCs/>
                <w:sz w:val="20"/>
                <w:szCs w:val="20"/>
              </w:rPr>
              <w:t>Works with support &amp; supervision</w:t>
            </w:r>
            <w:r w:rsidR="00974998" w:rsidRPr="006B5D7C">
              <w:rPr>
                <w:bCs/>
                <w:sz w:val="20"/>
                <w:szCs w:val="20"/>
              </w:rPr>
              <w:t xml:space="preserve"> especially in complex and unfamiliar situations</w:t>
            </w:r>
          </w:p>
          <w:p w14:paraId="4F0DD328" w14:textId="77777777" w:rsidR="009664C1" w:rsidRPr="006B5D7C" w:rsidRDefault="009664C1">
            <w:pPr>
              <w:pStyle w:val="ListParagraph"/>
              <w:numPr>
                <w:ilvl w:val="0"/>
                <w:numId w:val="13"/>
              </w:numPr>
              <w:spacing w:after="0" w:line="240" w:lineRule="auto"/>
              <w:rPr>
                <w:bCs/>
                <w:sz w:val="20"/>
                <w:szCs w:val="20"/>
              </w:rPr>
            </w:pPr>
            <w:r w:rsidRPr="006B5D7C">
              <w:rPr>
                <w:bCs/>
                <w:sz w:val="20"/>
                <w:szCs w:val="20"/>
              </w:rPr>
              <w:t>Develops skills</w:t>
            </w:r>
          </w:p>
          <w:p w14:paraId="606A7A6C" w14:textId="77777777" w:rsidR="009664C1" w:rsidRPr="006B5D7C" w:rsidRDefault="009664C1">
            <w:pPr>
              <w:pStyle w:val="ListParagraph"/>
              <w:numPr>
                <w:ilvl w:val="0"/>
                <w:numId w:val="13"/>
              </w:numPr>
              <w:spacing w:after="0" w:line="240" w:lineRule="auto"/>
              <w:rPr>
                <w:bCs/>
                <w:sz w:val="20"/>
                <w:szCs w:val="20"/>
              </w:rPr>
            </w:pPr>
            <w:r w:rsidRPr="006B5D7C">
              <w:rPr>
                <w:bCs/>
                <w:sz w:val="20"/>
                <w:szCs w:val="20"/>
              </w:rPr>
              <w:t>Able to plan &amp; prioritise work</w:t>
            </w:r>
          </w:p>
          <w:p w14:paraId="6FE779B7" w14:textId="77777777" w:rsidR="009664C1" w:rsidRPr="006B5D7C" w:rsidRDefault="009664C1">
            <w:pPr>
              <w:pStyle w:val="ListParagraph"/>
              <w:numPr>
                <w:ilvl w:val="0"/>
                <w:numId w:val="13"/>
              </w:numPr>
              <w:spacing w:after="0" w:line="240" w:lineRule="auto"/>
              <w:rPr>
                <w:bCs/>
                <w:sz w:val="20"/>
                <w:szCs w:val="20"/>
              </w:rPr>
            </w:pPr>
            <w:r w:rsidRPr="006B5D7C">
              <w:rPr>
                <w:bCs/>
                <w:sz w:val="20"/>
                <w:szCs w:val="20"/>
              </w:rPr>
              <w:t>Able to understand and identify risks</w:t>
            </w:r>
          </w:p>
          <w:p w14:paraId="1E3564AF" w14:textId="77777777" w:rsidR="009664C1" w:rsidRPr="006B5D7C" w:rsidRDefault="009664C1">
            <w:pPr>
              <w:pStyle w:val="ListParagraph"/>
              <w:numPr>
                <w:ilvl w:val="0"/>
                <w:numId w:val="13"/>
              </w:numPr>
              <w:spacing w:after="0" w:line="240" w:lineRule="auto"/>
              <w:rPr>
                <w:bCs/>
                <w:sz w:val="20"/>
                <w:szCs w:val="20"/>
              </w:rPr>
            </w:pPr>
            <w:r w:rsidRPr="006B5D7C">
              <w:rPr>
                <w:bCs/>
                <w:sz w:val="20"/>
                <w:szCs w:val="20"/>
              </w:rPr>
              <w:t>Supports service users to participate in decision making</w:t>
            </w:r>
          </w:p>
          <w:p w14:paraId="01644327" w14:textId="77777777" w:rsidR="009664C1" w:rsidRPr="006B5D7C" w:rsidRDefault="009664C1">
            <w:pPr>
              <w:pStyle w:val="ListParagraph"/>
              <w:numPr>
                <w:ilvl w:val="0"/>
                <w:numId w:val="13"/>
              </w:numPr>
              <w:spacing w:after="0" w:line="240" w:lineRule="auto"/>
              <w:rPr>
                <w:bCs/>
                <w:sz w:val="20"/>
                <w:szCs w:val="20"/>
              </w:rPr>
            </w:pPr>
            <w:r w:rsidRPr="006B5D7C">
              <w:rPr>
                <w:bCs/>
                <w:sz w:val="20"/>
                <w:szCs w:val="20"/>
              </w:rPr>
              <w:t xml:space="preserve">Well-developed communication skills and confidently works with complex groups </w:t>
            </w:r>
          </w:p>
        </w:tc>
        <w:tc>
          <w:tcPr>
            <w:tcW w:w="7371" w:type="dxa"/>
          </w:tcPr>
          <w:p w14:paraId="7E70DDC5" w14:textId="77777777" w:rsidR="009664C1" w:rsidRPr="006B5D7C" w:rsidRDefault="009664C1">
            <w:pPr>
              <w:pStyle w:val="ListParagraph"/>
              <w:numPr>
                <w:ilvl w:val="0"/>
                <w:numId w:val="13"/>
              </w:numPr>
              <w:spacing w:after="0" w:line="240" w:lineRule="auto"/>
              <w:rPr>
                <w:sz w:val="20"/>
                <w:szCs w:val="20"/>
              </w:rPr>
            </w:pPr>
            <w:r w:rsidRPr="006B5D7C">
              <w:rPr>
                <w:sz w:val="20"/>
                <w:szCs w:val="20"/>
              </w:rPr>
              <w:t>Able to locate and appraise robust sources of evidence and apply best available evidence to practice</w:t>
            </w:r>
          </w:p>
          <w:p w14:paraId="4AF8CE05" w14:textId="77777777" w:rsidR="009664C1" w:rsidRPr="006B5D7C" w:rsidRDefault="009664C1">
            <w:pPr>
              <w:pStyle w:val="ListParagraph"/>
              <w:numPr>
                <w:ilvl w:val="0"/>
                <w:numId w:val="13"/>
              </w:numPr>
              <w:spacing w:after="0" w:line="240" w:lineRule="auto"/>
              <w:rPr>
                <w:sz w:val="20"/>
                <w:szCs w:val="20"/>
              </w:rPr>
            </w:pPr>
            <w:r w:rsidRPr="006B5D7C">
              <w:rPr>
                <w:sz w:val="20"/>
                <w:szCs w:val="20"/>
              </w:rPr>
              <w:t>Incorporates a range of outcome and quality measures into practice</w:t>
            </w:r>
          </w:p>
          <w:p w14:paraId="46047A25" w14:textId="77777777" w:rsidR="009664C1" w:rsidRPr="006B5D7C" w:rsidRDefault="009664C1">
            <w:pPr>
              <w:pStyle w:val="ListParagraph"/>
              <w:numPr>
                <w:ilvl w:val="0"/>
                <w:numId w:val="13"/>
              </w:numPr>
              <w:spacing w:after="0" w:line="240" w:lineRule="auto"/>
              <w:rPr>
                <w:sz w:val="20"/>
                <w:szCs w:val="20"/>
              </w:rPr>
            </w:pPr>
            <w:r w:rsidRPr="006B5D7C">
              <w:rPr>
                <w:sz w:val="20"/>
                <w:szCs w:val="20"/>
              </w:rPr>
              <w:t>Contributes to service evaluation and audit work</w:t>
            </w:r>
          </w:p>
          <w:p w14:paraId="34CEBF99" w14:textId="77777777" w:rsidR="009664C1" w:rsidRPr="006B5D7C" w:rsidRDefault="009664C1">
            <w:pPr>
              <w:pStyle w:val="ListParagraph"/>
              <w:numPr>
                <w:ilvl w:val="0"/>
                <w:numId w:val="13"/>
              </w:numPr>
              <w:spacing w:after="0" w:line="240" w:lineRule="auto"/>
              <w:rPr>
                <w:sz w:val="20"/>
                <w:szCs w:val="20"/>
              </w:rPr>
            </w:pPr>
            <w:r w:rsidRPr="006B5D7C">
              <w:rPr>
                <w:sz w:val="20"/>
                <w:szCs w:val="20"/>
              </w:rPr>
              <w:t>Able to deliver a teaching session to peers, students and service users</w:t>
            </w:r>
          </w:p>
          <w:p w14:paraId="7A992878" w14:textId="77777777" w:rsidR="009664C1" w:rsidRPr="006B5D7C" w:rsidRDefault="009664C1">
            <w:pPr>
              <w:pStyle w:val="ListParagraph"/>
              <w:numPr>
                <w:ilvl w:val="0"/>
                <w:numId w:val="13"/>
              </w:numPr>
              <w:spacing w:after="0" w:line="240" w:lineRule="auto"/>
              <w:rPr>
                <w:sz w:val="20"/>
                <w:szCs w:val="20"/>
              </w:rPr>
            </w:pPr>
            <w:r w:rsidRPr="006B5D7C">
              <w:rPr>
                <w:sz w:val="20"/>
                <w:szCs w:val="20"/>
              </w:rPr>
              <w:t>Actively seeks development opportunities</w:t>
            </w:r>
          </w:p>
          <w:p w14:paraId="60B28644" w14:textId="77777777" w:rsidR="009664C1" w:rsidRPr="006B5D7C" w:rsidRDefault="009664C1">
            <w:pPr>
              <w:pStyle w:val="ListParagraph"/>
              <w:numPr>
                <w:ilvl w:val="0"/>
                <w:numId w:val="13"/>
              </w:numPr>
              <w:spacing w:after="0" w:line="240" w:lineRule="auto"/>
              <w:rPr>
                <w:sz w:val="20"/>
                <w:szCs w:val="20"/>
              </w:rPr>
            </w:pPr>
            <w:r w:rsidRPr="006B5D7C">
              <w:rPr>
                <w:sz w:val="20"/>
                <w:szCs w:val="20"/>
              </w:rPr>
              <w:t xml:space="preserve">Demonstrates knowledge of relevant policies and practices within practice area </w:t>
            </w:r>
          </w:p>
          <w:p w14:paraId="4E9B8546" w14:textId="2B97620A" w:rsidR="009664C1" w:rsidRPr="006B5D7C" w:rsidRDefault="009664C1">
            <w:pPr>
              <w:pStyle w:val="ListParagraph"/>
              <w:numPr>
                <w:ilvl w:val="0"/>
                <w:numId w:val="13"/>
              </w:numPr>
              <w:rPr>
                <w:sz w:val="20"/>
                <w:szCs w:val="20"/>
              </w:rPr>
            </w:pPr>
            <w:r w:rsidRPr="006B5D7C">
              <w:rPr>
                <w:sz w:val="20"/>
                <w:szCs w:val="20"/>
              </w:rPr>
              <w:t>Accepts responsibility for the quality of the service provide</w:t>
            </w:r>
            <w:r w:rsidR="00EB318F" w:rsidRPr="006B5D7C">
              <w:rPr>
                <w:sz w:val="20"/>
                <w:szCs w:val="20"/>
              </w:rPr>
              <w:t>d</w:t>
            </w:r>
            <w:r w:rsidRPr="006B5D7C">
              <w:rPr>
                <w:sz w:val="20"/>
                <w:szCs w:val="20"/>
              </w:rPr>
              <w:t xml:space="preserve"> and identif</w:t>
            </w:r>
            <w:r w:rsidR="00CA4A74" w:rsidRPr="006B5D7C">
              <w:rPr>
                <w:sz w:val="20"/>
                <w:szCs w:val="20"/>
              </w:rPr>
              <w:t>ies</w:t>
            </w:r>
            <w:r w:rsidRPr="006B5D7C">
              <w:rPr>
                <w:sz w:val="20"/>
                <w:szCs w:val="20"/>
              </w:rPr>
              <w:t xml:space="preserve"> areas for improvement</w:t>
            </w:r>
          </w:p>
        </w:tc>
      </w:tr>
      <w:tr w:rsidR="009664C1" w14:paraId="584C7D25" w14:textId="77777777" w:rsidTr="009664C1">
        <w:tc>
          <w:tcPr>
            <w:tcW w:w="1208" w:type="dxa"/>
          </w:tcPr>
          <w:p w14:paraId="69D3A62B" w14:textId="77777777" w:rsidR="005B34BD" w:rsidRPr="006B5D7C" w:rsidRDefault="005B34BD" w:rsidP="009664C1">
            <w:pPr>
              <w:pStyle w:val="ListParagraph"/>
              <w:spacing w:after="0" w:line="240" w:lineRule="auto"/>
              <w:ind w:left="0"/>
              <w:rPr>
                <w:b/>
                <w:sz w:val="20"/>
                <w:szCs w:val="20"/>
              </w:rPr>
            </w:pPr>
          </w:p>
          <w:p w14:paraId="101AEBDB" w14:textId="0F23C1EF" w:rsidR="009664C1" w:rsidRPr="006B5D7C" w:rsidRDefault="009664C1" w:rsidP="009664C1">
            <w:pPr>
              <w:pStyle w:val="ListParagraph"/>
              <w:spacing w:after="0" w:line="240" w:lineRule="auto"/>
              <w:ind w:left="0"/>
              <w:rPr>
                <w:b/>
                <w:sz w:val="20"/>
                <w:szCs w:val="20"/>
              </w:rPr>
            </w:pPr>
            <w:r w:rsidRPr="006B5D7C">
              <w:rPr>
                <w:b/>
                <w:sz w:val="20"/>
                <w:szCs w:val="20"/>
              </w:rPr>
              <w:t>Enhanced</w:t>
            </w:r>
          </w:p>
          <w:p w14:paraId="03D70116" w14:textId="3E4B8DD9" w:rsidR="00974998" w:rsidRPr="006B5D7C" w:rsidRDefault="00974998" w:rsidP="00A20532">
            <w:pPr>
              <w:spacing w:after="0" w:line="240" w:lineRule="auto"/>
              <w:rPr>
                <w:bCs/>
                <w:sz w:val="20"/>
                <w:szCs w:val="20"/>
              </w:rPr>
            </w:pPr>
            <w:r w:rsidRPr="006B5D7C">
              <w:rPr>
                <w:bCs/>
                <w:sz w:val="20"/>
                <w:szCs w:val="20"/>
              </w:rPr>
              <w:t>(Dietitians are specialists at this level of practice)</w:t>
            </w:r>
          </w:p>
          <w:p w14:paraId="314068C7" w14:textId="1C8AB3A8" w:rsidR="00974998" w:rsidRPr="006B5D7C" w:rsidRDefault="00974998" w:rsidP="009664C1">
            <w:pPr>
              <w:pStyle w:val="ListParagraph"/>
              <w:spacing w:after="0" w:line="240" w:lineRule="auto"/>
              <w:ind w:left="0"/>
              <w:rPr>
                <w:b/>
                <w:sz w:val="20"/>
                <w:szCs w:val="20"/>
              </w:rPr>
            </w:pPr>
          </w:p>
        </w:tc>
        <w:tc>
          <w:tcPr>
            <w:tcW w:w="7014" w:type="dxa"/>
          </w:tcPr>
          <w:p w14:paraId="0F006C45" w14:textId="296E1983" w:rsidR="009664C1" w:rsidRPr="006B5D7C" w:rsidRDefault="00F86DA8">
            <w:pPr>
              <w:pStyle w:val="ListParagraph"/>
              <w:numPr>
                <w:ilvl w:val="0"/>
                <w:numId w:val="14"/>
              </w:numPr>
              <w:spacing w:after="0" w:line="240" w:lineRule="auto"/>
              <w:rPr>
                <w:bCs/>
                <w:sz w:val="20"/>
                <w:szCs w:val="20"/>
              </w:rPr>
            </w:pPr>
            <w:r w:rsidRPr="006B5D7C">
              <w:rPr>
                <w:bCs/>
                <w:sz w:val="20"/>
                <w:szCs w:val="20"/>
              </w:rPr>
              <w:t xml:space="preserve">In-depth </w:t>
            </w:r>
            <w:r w:rsidR="009664C1" w:rsidRPr="006B5D7C">
              <w:rPr>
                <w:bCs/>
                <w:sz w:val="20"/>
                <w:szCs w:val="20"/>
              </w:rPr>
              <w:t xml:space="preserve">knowledge and specialist skills </w:t>
            </w:r>
          </w:p>
          <w:p w14:paraId="1E463B9B" w14:textId="2BAB25E8" w:rsidR="009664C1" w:rsidRPr="006B5D7C" w:rsidRDefault="009664C1">
            <w:pPr>
              <w:pStyle w:val="ListParagraph"/>
              <w:numPr>
                <w:ilvl w:val="0"/>
                <w:numId w:val="14"/>
              </w:numPr>
              <w:spacing w:after="0" w:line="240" w:lineRule="auto"/>
              <w:rPr>
                <w:bCs/>
                <w:sz w:val="20"/>
                <w:szCs w:val="20"/>
              </w:rPr>
            </w:pPr>
            <w:r w:rsidRPr="006B5D7C">
              <w:rPr>
                <w:bCs/>
                <w:sz w:val="20"/>
                <w:szCs w:val="20"/>
              </w:rPr>
              <w:t xml:space="preserve">Works autonomously </w:t>
            </w:r>
            <w:r w:rsidR="00F86DA8" w:rsidRPr="006B5D7C">
              <w:rPr>
                <w:bCs/>
                <w:sz w:val="20"/>
                <w:szCs w:val="20"/>
              </w:rPr>
              <w:t>and able to identify own development needs</w:t>
            </w:r>
          </w:p>
          <w:p w14:paraId="0769670E" w14:textId="59B0C252" w:rsidR="009664C1" w:rsidRPr="006B5D7C" w:rsidRDefault="009664C1">
            <w:pPr>
              <w:pStyle w:val="ListParagraph"/>
              <w:numPr>
                <w:ilvl w:val="0"/>
                <w:numId w:val="14"/>
              </w:numPr>
              <w:spacing w:after="0" w:line="240" w:lineRule="auto"/>
              <w:rPr>
                <w:bCs/>
                <w:sz w:val="20"/>
                <w:szCs w:val="20"/>
              </w:rPr>
            </w:pPr>
            <w:r w:rsidRPr="006B5D7C">
              <w:rPr>
                <w:bCs/>
                <w:sz w:val="20"/>
                <w:szCs w:val="20"/>
              </w:rPr>
              <w:t>Routinely delivers a high standard of practice and able to manage more complex situations</w:t>
            </w:r>
            <w:r w:rsidR="004C3617" w:rsidRPr="006B5D7C">
              <w:rPr>
                <w:bCs/>
                <w:sz w:val="20"/>
                <w:szCs w:val="20"/>
              </w:rPr>
              <w:t xml:space="preserve"> confidently</w:t>
            </w:r>
            <w:r w:rsidR="00A20532" w:rsidRPr="006B5D7C">
              <w:rPr>
                <w:bCs/>
                <w:sz w:val="20"/>
                <w:szCs w:val="20"/>
              </w:rPr>
              <w:t xml:space="preserve"> and holistically</w:t>
            </w:r>
          </w:p>
          <w:p w14:paraId="71A32AF9" w14:textId="73B60E89" w:rsidR="009664C1" w:rsidRPr="006B5D7C" w:rsidRDefault="009664C1">
            <w:pPr>
              <w:pStyle w:val="ListParagraph"/>
              <w:numPr>
                <w:ilvl w:val="0"/>
                <w:numId w:val="14"/>
              </w:numPr>
              <w:spacing w:after="0" w:line="240" w:lineRule="auto"/>
              <w:rPr>
                <w:bCs/>
                <w:sz w:val="20"/>
                <w:szCs w:val="20"/>
              </w:rPr>
            </w:pPr>
            <w:r w:rsidRPr="006B5D7C">
              <w:rPr>
                <w:bCs/>
                <w:sz w:val="20"/>
                <w:szCs w:val="20"/>
              </w:rPr>
              <w:t>Understands wider risks associated with practice and ensures systems in place to proactively manage risks</w:t>
            </w:r>
          </w:p>
          <w:p w14:paraId="0FF23DC0" w14:textId="77777777" w:rsidR="009664C1" w:rsidRPr="006B5D7C" w:rsidRDefault="009664C1">
            <w:pPr>
              <w:pStyle w:val="ListParagraph"/>
              <w:numPr>
                <w:ilvl w:val="0"/>
                <w:numId w:val="14"/>
              </w:numPr>
              <w:spacing w:after="0" w:line="240" w:lineRule="auto"/>
              <w:rPr>
                <w:bCs/>
                <w:sz w:val="20"/>
                <w:szCs w:val="20"/>
              </w:rPr>
            </w:pPr>
            <w:r w:rsidRPr="006B5D7C">
              <w:rPr>
                <w:bCs/>
                <w:sz w:val="20"/>
                <w:szCs w:val="20"/>
              </w:rPr>
              <w:t>Confidently communicates complex information to a variety of stakeholders to influence decisions and actions</w:t>
            </w:r>
          </w:p>
          <w:p w14:paraId="1BB476B7" w14:textId="1FF187C4" w:rsidR="000A72CE" w:rsidRPr="006B5D7C" w:rsidRDefault="000A72CE" w:rsidP="00CB7E6F">
            <w:pPr>
              <w:pStyle w:val="ListParagraph"/>
              <w:spacing w:after="0" w:line="240" w:lineRule="auto"/>
              <w:ind w:left="360"/>
              <w:rPr>
                <w:bCs/>
                <w:sz w:val="20"/>
                <w:szCs w:val="20"/>
              </w:rPr>
            </w:pPr>
          </w:p>
        </w:tc>
        <w:tc>
          <w:tcPr>
            <w:tcW w:w="7371" w:type="dxa"/>
          </w:tcPr>
          <w:p w14:paraId="753AFF74" w14:textId="77777777" w:rsidR="009664C1" w:rsidRPr="006B5D7C" w:rsidRDefault="009664C1">
            <w:pPr>
              <w:pStyle w:val="ListParagraph"/>
              <w:numPr>
                <w:ilvl w:val="0"/>
                <w:numId w:val="14"/>
              </w:numPr>
              <w:spacing w:after="0" w:line="240" w:lineRule="auto"/>
              <w:rPr>
                <w:sz w:val="20"/>
                <w:szCs w:val="20"/>
              </w:rPr>
            </w:pPr>
            <w:r w:rsidRPr="006B5D7C">
              <w:rPr>
                <w:sz w:val="20"/>
                <w:szCs w:val="20"/>
              </w:rPr>
              <w:t>Promotes a culture of evidence-based practice and produces resources to reflect this</w:t>
            </w:r>
          </w:p>
          <w:p w14:paraId="7366EF16" w14:textId="0A922829" w:rsidR="009664C1" w:rsidRPr="006B5D7C" w:rsidRDefault="009664C1">
            <w:pPr>
              <w:pStyle w:val="ListParagraph"/>
              <w:numPr>
                <w:ilvl w:val="0"/>
                <w:numId w:val="14"/>
              </w:numPr>
              <w:spacing w:after="0" w:line="240" w:lineRule="auto"/>
              <w:rPr>
                <w:bCs/>
                <w:sz w:val="20"/>
                <w:szCs w:val="20"/>
              </w:rPr>
            </w:pPr>
            <w:r w:rsidRPr="006B5D7C">
              <w:rPr>
                <w:bCs/>
                <w:sz w:val="20"/>
                <w:szCs w:val="20"/>
              </w:rPr>
              <w:t>Actively challenges poor practice that undermines service quality</w:t>
            </w:r>
          </w:p>
          <w:p w14:paraId="6BCA73BC" w14:textId="77777777" w:rsidR="00CA4A74" w:rsidRPr="006B5D7C" w:rsidRDefault="00CA4A74">
            <w:pPr>
              <w:pStyle w:val="ListParagraph"/>
              <w:numPr>
                <w:ilvl w:val="0"/>
                <w:numId w:val="14"/>
              </w:numPr>
              <w:spacing w:after="0" w:line="240" w:lineRule="auto"/>
              <w:rPr>
                <w:sz w:val="20"/>
                <w:szCs w:val="20"/>
              </w:rPr>
            </w:pPr>
            <w:r w:rsidRPr="006B5D7C">
              <w:rPr>
                <w:sz w:val="20"/>
                <w:szCs w:val="20"/>
              </w:rPr>
              <w:t xml:space="preserve">Designs and undertakes local service evaluation and audit projects </w:t>
            </w:r>
          </w:p>
          <w:p w14:paraId="241B60D2" w14:textId="50C6EAF5" w:rsidR="00CA4A74" w:rsidRPr="006B5D7C" w:rsidRDefault="00CA4A74">
            <w:pPr>
              <w:pStyle w:val="ListParagraph"/>
              <w:numPr>
                <w:ilvl w:val="0"/>
                <w:numId w:val="14"/>
              </w:numPr>
              <w:spacing w:after="0" w:line="240" w:lineRule="auto"/>
              <w:rPr>
                <w:bCs/>
                <w:sz w:val="20"/>
                <w:szCs w:val="20"/>
              </w:rPr>
            </w:pPr>
            <w:r w:rsidRPr="006B5D7C">
              <w:rPr>
                <w:sz w:val="20"/>
                <w:szCs w:val="20"/>
              </w:rPr>
              <w:t>Actively participates in projects which will improve the quality of the service and leads on aspects of the project as appropriate</w:t>
            </w:r>
          </w:p>
          <w:p w14:paraId="4EEF1933" w14:textId="77777777" w:rsidR="009664C1" w:rsidRPr="006B5D7C" w:rsidRDefault="009664C1">
            <w:pPr>
              <w:pStyle w:val="ListParagraph"/>
              <w:numPr>
                <w:ilvl w:val="0"/>
                <w:numId w:val="14"/>
              </w:numPr>
              <w:spacing w:after="0" w:line="240" w:lineRule="auto"/>
              <w:rPr>
                <w:sz w:val="20"/>
                <w:szCs w:val="20"/>
              </w:rPr>
            </w:pPr>
            <w:r w:rsidRPr="006B5D7C">
              <w:rPr>
                <w:sz w:val="20"/>
                <w:szCs w:val="20"/>
              </w:rPr>
              <w:t>Accepts leadership roles to promote dietetics, nutrition and the profession</w:t>
            </w:r>
          </w:p>
          <w:p w14:paraId="6762E733" w14:textId="3290C0DB" w:rsidR="009664C1" w:rsidRPr="006B5D7C" w:rsidRDefault="009664C1">
            <w:pPr>
              <w:pStyle w:val="ListParagraph"/>
              <w:numPr>
                <w:ilvl w:val="0"/>
                <w:numId w:val="14"/>
              </w:numPr>
              <w:spacing w:after="0" w:line="240" w:lineRule="auto"/>
              <w:rPr>
                <w:sz w:val="20"/>
                <w:szCs w:val="20"/>
              </w:rPr>
            </w:pPr>
            <w:r w:rsidRPr="006B5D7C">
              <w:rPr>
                <w:sz w:val="20"/>
                <w:szCs w:val="20"/>
              </w:rPr>
              <w:t xml:space="preserve">Contributes to the development of local strategy and policies </w:t>
            </w:r>
          </w:p>
        </w:tc>
      </w:tr>
      <w:tr w:rsidR="009664C1" w14:paraId="64D32D03" w14:textId="77777777" w:rsidTr="009664C1">
        <w:tc>
          <w:tcPr>
            <w:tcW w:w="1208" w:type="dxa"/>
          </w:tcPr>
          <w:p w14:paraId="0467EE3A" w14:textId="77777777" w:rsidR="005B34BD" w:rsidRPr="006B5D7C" w:rsidRDefault="005B34BD" w:rsidP="009664C1">
            <w:pPr>
              <w:pStyle w:val="ListParagraph"/>
              <w:spacing w:after="0" w:line="240" w:lineRule="auto"/>
              <w:ind w:left="0"/>
              <w:rPr>
                <w:b/>
                <w:sz w:val="20"/>
                <w:szCs w:val="20"/>
              </w:rPr>
            </w:pPr>
          </w:p>
          <w:p w14:paraId="62FD6849" w14:textId="77777777" w:rsidR="005B34BD" w:rsidRPr="006B5D7C" w:rsidRDefault="005B34BD" w:rsidP="009664C1">
            <w:pPr>
              <w:pStyle w:val="ListParagraph"/>
              <w:spacing w:after="0" w:line="240" w:lineRule="auto"/>
              <w:ind w:left="0"/>
              <w:rPr>
                <w:b/>
                <w:sz w:val="20"/>
                <w:szCs w:val="20"/>
              </w:rPr>
            </w:pPr>
          </w:p>
          <w:p w14:paraId="646AC335" w14:textId="77777777" w:rsidR="005B34BD" w:rsidRPr="006B5D7C" w:rsidRDefault="005B34BD" w:rsidP="009664C1">
            <w:pPr>
              <w:pStyle w:val="ListParagraph"/>
              <w:spacing w:after="0" w:line="240" w:lineRule="auto"/>
              <w:ind w:left="0"/>
              <w:rPr>
                <w:b/>
                <w:sz w:val="20"/>
                <w:szCs w:val="20"/>
              </w:rPr>
            </w:pPr>
          </w:p>
          <w:p w14:paraId="0969EAAF" w14:textId="2E96A5FE" w:rsidR="009664C1" w:rsidRPr="006B5D7C" w:rsidRDefault="009664C1" w:rsidP="009664C1">
            <w:pPr>
              <w:pStyle w:val="ListParagraph"/>
              <w:spacing w:after="0" w:line="240" w:lineRule="auto"/>
              <w:ind w:left="0"/>
              <w:rPr>
                <w:b/>
                <w:sz w:val="20"/>
                <w:szCs w:val="20"/>
              </w:rPr>
            </w:pPr>
            <w:r w:rsidRPr="006B5D7C">
              <w:rPr>
                <w:b/>
                <w:sz w:val="20"/>
                <w:szCs w:val="20"/>
              </w:rPr>
              <w:t>Advanced</w:t>
            </w:r>
          </w:p>
        </w:tc>
        <w:tc>
          <w:tcPr>
            <w:tcW w:w="7014" w:type="dxa"/>
          </w:tcPr>
          <w:p w14:paraId="3F5CE0D0" w14:textId="24886EFB" w:rsidR="009664C1" w:rsidRPr="006B5D7C" w:rsidRDefault="009664C1">
            <w:pPr>
              <w:pStyle w:val="ListParagraph"/>
              <w:numPr>
                <w:ilvl w:val="0"/>
                <w:numId w:val="15"/>
              </w:numPr>
              <w:spacing w:after="0" w:line="240" w:lineRule="auto"/>
              <w:rPr>
                <w:bCs/>
                <w:sz w:val="20"/>
                <w:szCs w:val="20"/>
              </w:rPr>
            </w:pPr>
            <w:r w:rsidRPr="006B5D7C">
              <w:rPr>
                <w:bCs/>
                <w:sz w:val="20"/>
                <w:szCs w:val="20"/>
              </w:rPr>
              <w:t>Expert</w:t>
            </w:r>
            <w:r w:rsidR="00F86DA8" w:rsidRPr="006B5D7C">
              <w:rPr>
                <w:bCs/>
                <w:sz w:val="20"/>
                <w:szCs w:val="20"/>
              </w:rPr>
              <w:t>, authoritative</w:t>
            </w:r>
            <w:r w:rsidRPr="006B5D7C">
              <w:rPr>
                <w:bCs/>
                <w:sz w:val="20"/>
                <w:szCs w:val="20"/>
              </w:rPr>
              <w:t xml:space="preserve"> knowledge and highly refined skills</w:t>
            </w:r>
          </w:p>
          <w:p w14:paraId="69296FF7" w14:textId="77777777" w:rsidR="009664C1" w:rsidRPr="006B5D7C" w:rsidRDefault="009664C1">
            <w:pPr>
              <w:pStyle w:val="ListParagraph"/>
              <w:numPr>
                <w:ilvl w:val="0"/>
                <w:numId w:val="15"/>
              </w:numPr>
              <w:spacing w:after="0" w:line="240" w:lineRule="auto"/>
              <w:rPr>
                <w:bCs/>
                <w:sz w:val="20"/>
                <w:szCs w:val="20"/>
              </w:rPr>
            </w:pPr>
            <w:r w:rsidRPr="006B5D7C">
              <w:rPr>
                <w:bCs/>
                <w:sz w:val="20"/>
                <w:szCs w:val="20"/>
              </w:rPr>
              <w:t>Able to see the ‘big picture’, providing a holistic, efficient and evidence-based approach</w:t>
            </w:r>
          </w:p>
          <w:p w14:paraId="75B93FDA" w14:textId="07C2A01B" w:rsidR="009664C1" w:rsidRPr="006B5D7C" w:rsidRDefault="009664C1">
            <w:pPr>
              <w:pStyle w:val="ListParagraph"/>
              <w:numPr>
                <w:ilvl w:val="0"/>
                <w:numId w:val="15"/>
              </w:numPr>
              <w:spacing w:after="0" w:line="240" w:lineRule="auto"/>
              <w:rPr>
                <w:bCs/>
                <w:sz w:val="20"/>
                <w:szCs w:val="20"/>
              </w:rPr>
            </w:pPr>
            <w:r w:rsidRPr="006B5D7C">
              <w:rPr>
                <w:bCs/>
                <w:sz w:val="20"/>
                <w:szCs w:val="20"/>
              </w:rPr>
              <w:t xml:space="preserve">Able to </w:t>
            </w:r>
            <w:r w:rsidR="00A20532" w:rsidRPr="006B5D7C">
              <w:rPr>
                <w:bCs/>
                <w:sz w:val="20"/>
                <w:szCs w:val="20"/>
              </w:rPr>
              <w:t xml:space="preserve">show an intuitive grasp of </w:t>
            </w:r>
            <w:r w:rsidRPr="006B5D7C">
              <w:rPr>
                <w:bCs/>
                <w:sz w:val="20"/>
                <w:szCs w:val="20"/>
              </w:rPr>
              <w:t>highly complex situations and proactively manage risks</w:t>
            </w:r>
          </w:p>
          <w:p w14:paraId="5ED38854" w14:textId="77777777" w:rsidR="009664C1" w:rsidRPr="006B5D7C" w:rsidRDefault="009664C1">
            <w:pPr>
              <w:pStyle w:val="ListParagraph"/>
              <w:numPr>
                <w:ilvl w:val="0"/>
                <w:numId w:val="15"/>
              </w:numPr>
              <w:spacing w:after="0" w:line="240" w:lineRule="auto"/>
              <w:rPr>
                <w:bCs/>
                <w:sz w:val="20"/>
                <w:szCs w:val="20"/>
              </w:rPr>
            </w:pPr>
            <w:r w:rsidRPr="006B5D7C">
              <w:rPr>
                <w:bCs/>
                <w:sz w:val="20"/>
                <w:szCs w:val="20"/>
              </w:rPr>
              <w:t>Creates and evaluates new developments and innovations and involves service users in the design</w:t>
            </w:r>
          </w:p>
          <w:p w14:paraId="16345DDB" w14:textId="77777777" w:rsidR="00424848" w:rsidRPr="006B5D7C" w:rsidRDefault="009664C1">
            <w:pPr>
              <w:pStyle w:val="ListParagraph"/>
              <w:numPr>
                <w:ilvl w:val="0"/>
                <w:numId w:val="15"/>
              </w:numPr>
              <w:spacing w:after="0" w:line="240" w:lineRule="auto"/>
              <w:rPr>
                <w:bCs/>
                <w:sz w:val="20"/>
                <w:szCs w:val="20"/>
              </w:rPr>
            </w:pPr>
            <w:r w:rsidRPr="006B5D7C">
              <w:rPr>
                <w:bCs/>
                <w:sz w:val="20"/>
                <w:szCs w:val="20"/>
              </w:rPr>
              <w:t>Communication skills applied in challenging situations and beyond the service to influence policy beyond local level</w:t>
            </w:r>
          </w:p>
          <w:p w14:paraId="7421DB59" w14:textId="4D7B81EE" w:rsidR="00424848" w:rsidRPr="006B5D7C" w:rsidRDefault="00424848" w:rsidP="00424848">
            <w:pPr>
              <w:pStyle w:val="ListParagraph"/>
              <w:spacing w:after="0" w:line="240" w:lineRule="auto"/>
              <w:ind w:left="360"/>
              <w:rPr>
                <w:bCs/>
                <w:sz w:val="20"/>
                <w:szCs w:val="20"/>
              </w:rPr>
            </w:pPr>
          </w:p>
        </w:tc>
        <w:tc>
          <w:tcPr>
            <w:tcW w:w="7371" w:type="dxa"/>
          </w:tcPr>
          <w:p w14:paraId="51E8E78F" w14:textId="77777777" w:rsidR="009664C1" w:rsidRPr="006B5D7C" w:rsidRDefault="009664C1">
            <w:pPr>
              <w:pStyle w:val="ListParagraph"/>
              <w:numPr>
                <w:ilvl w:val="0"/>
                <w:numId w:val="15"/>
              </w:numPr>
              <w:spacing w:after="0" w:line="240" w:lineRule="auto"/>
              <w:rPr>
                <w:sz w:val="20"/>
                <w:szCs w:val="20"/>
              </w:rPr>
            </w:pPr>
            <w:r w:rsidRPr="006B5D7C">
              <w:rPr>
                <w:sz w:val="20"/>
                <w:szCs w:val="20"/>
              </w:rPr>
              <w:t>Demonstrates in-depth understanding of evidence from related fields and integrates into practice</w:t>
            </w:r>
          </w:p>
          <w:p w14:paraId="6F082719" w14:textId="77777777" w:rsidR="009664C1" w:rsidRPr="006B5D7C" w:rsidRDefault="009664C1">
            <w:pPr>
              <w:pStyle w:val="ListParagraph"/>
              <w:numPr>
                <w:ilvl w:val="0"/>
                <w:numId w:val="15"/>
              </w:numPr>
              <w:spacing w:after="0" w:line="240" w:lineRule="auto"/>
              <w:rPr>
                <w:sz w:val="20"/>
                <w:szCs w:val="20"/>
              </w:rPr>
            </w:pPr>
            <w:r w:rsidRPr="006B5D7C">
              <w:rPr>
                <w:sz w:val="20"/>
                <w:szCs w:val="20"/>
              </w:rPr>
              <w:t>Leads or contributes to the local, regional or national evidence-based guidance, strategy and policy development</w:t>
            </w:r>
          </w:p>
          <w:p w14:paraId="26D0D53B" w14:textId="486BB21E" w:rsidR="009664C1" w:rsidRPr="006B5D7C" w:rsidRDefault="009664C1">
            <w:pPr>
              <w:pStyle w:val="ListParagraph"/>
              <w:numPr>
                <w:ilvl w:val="0"/>
                <w:numId w:val="15"/>
              </w:numPr>
              <w:spacing w:after="0" w:line="240" w:lineRule="auto"/>
              <w:rPr>
                <w:sz w:val="20"/>
                <w:szCs w:val="20"/>
              </w:rPr>
            </w:pPr>
            <w:r w:rsidRPr="006B5D7C">
              <w:rPr>
                <w:sz w:val="20"/>
                <w:szCs w:val="20"/>
              </w:rPr>
              <w:t>Co-ordinates larger-scale service evaluation and audit projects relevant to multi</w:t>
            </w:r>
            <w:r w:rsidR="000A72CE" w:rsidRPr="006B5D7C">
              <w:rPr>
                <w:sz w:val="20"/>
                <w:szCs w:val="20"/>
              </w:rPr>
              <w:t>-</w:t>
            </w:r>
            <w:r w:rsidRPr="006B5D7C">
              <w:rPr>
                <w:sz w:val="20"/>
                <w:szCs w:val="20"/>
              </w:rPr>
              <w:t>professional services</w:t>
            </w:r>
          </w:p>
          <w:p w14:paraId="5306B6A2" w14:textId="77777777" w:rsidR="00CA4A74" w:rsidRPr="006B5D7C" w:rsidRDefault="00CA4A74">
            <w:pPr>
              <w:pStyle w:val="ListParagraph"/>
              <w:numPr>
                <w:ilvl w:val="0"/>
                <w:numId w:val="15"/>
              </w:numPr>
              <w:spacing w:after="0" w:line="240" w:lineRule="auto"/>
              <w:rPr>
                <w:sz w:val="20"/>
                <w:szCs w:val="20"/>
              </w:rPr>
            </w:pPr>
            <w:r w:rsidRPr="006B5D7C">
              <w:rPr>
                <w:sz w:val="20"/>
                <w:szCs w:val="20"/>
              </w:rPr>
              <w:t xml:space="preserve">Provides supervision or mentoring for colleagues </w:t>
            </w:r>
          </w:p>
          <w:p w14:paraId="3B06E9A8" w14:textId="3B26985E" w:rsidR="009664C1" w:rsidRPr="006B5D7C" w:rsidRDefault="009664C1">
            <w:pPr>
              <w:pStyle w:val="ListParagraph"/>
              <w:numPr>
                <w:ilvl w:val="0"/>
                <w:numId w:val="15"/>
              </w:numPr>
              <w:spacing w:after="0" w:line="240" w:lineRule="auto"/>
              <w:rPr>
                <w:sz w:val="20"/>
                <w:szCs w:val="20"/>
              </w:rPr>
            </w:pPr>
            <w:r w:rsidRPr="006B5D7C">
              <w:rPr>
                <w:sz w:val="20"/>
                <w:szCs w:val="20"/>
              </w:rPr>
              <w:t>Actively develops a learning culture in the team</w:t>
            </w:r>
          </w:p>
          <w:p w14:paraId="52B024D7" w14:textId="73496E68" w:rsidR="00CA4A74" w:rsidRPr="006B5D7C" w:rsidRDefault="00CA4A74">
            <w:pPr>
              <w:pStyle w:val="ListParagraph"/>
              <w:numPr>
                <w:ilvl w:val="0"/>
                <w:numId w:val="15"/>
              </w:numPr>
              <w:spacing w:after="0" w:line="240" w:lineRule="auto"/>
              <w:rPr>
                <w:sz w:val="20"/>
                <w:szCs w:val="20"/>
              </w:rPr>
            </w:pPr>
            <w:r w:rsidRPr="006B5D7C">
              <w:rPr>
                <w:sz w:val="20"/>
                <w:szCs w:val="20"/>
              </w:rPr>
              <w:t>Promotes and facilitates a culture of clinical effectiveness</w:t>
            </w:r>
          </w:p>
          <w:p w14:paraId="133EA1D5" w14:textId="4B1BA8AD" w:rsidR="009664C1" w:rsidRPr="006B5D7C" w:rsidRDefault="009664C1" w:rsidP="00CA4A74">
            <w:pPr>
              <w:spacing w:after="0" w:line="240" w:lineRule="auto"/>
              <w:rPr>
                <w:sz w:val="20"/>
                <w:szCs w:val="20"/>
              </w:rPr>
            </w:pPr>
          </w:p>
        </w:tc>
      </w:tr>
      <w:tr w:rsidR="009664C1" w14:paraId="0FD1FE64" w14:textId="77777777" w:rsidTr="009664C1">
        <w:tc>
          <w:tcPr>
            <w:tcW w:w="1208" w:type="dxa"/>
          </w:tcPr>
          <w:p w14:paraId="01733D69" w14:textId="77777777" w:rsidR="005B34BD" w:rsidRPr="006B5D7C" w:rsidRDefault="005B34BD" w:rsidP="009664C1">
            <w:pPr>
              <w:pStyle w:val="ListParagraph"/>
              <w:spacing w:after="0" w:line="240" w:lineRule="auto"/>
              <w:ind w:left="0"/>
              <w:rPr>
                <w:b/>
                <w:sz w:val="20"/>
                <w:szCs w:val="20"/>
              </w:rPr>
            </w:pPr>
          </w:p>
          <w:p w14:paraId="66182D36" w14:textId="77777777" w:rsidR="005B34BD" w:rsidRPr="006B5D7C" w:rsidRDefault="005B34BD" w:rsidP="009664C1">
            <w:pPr>
              <w:pStyle w:val="ListParagraph"/>
              <w:spacing w:after="0" w:line="240" w:lineRule="auto"/>
              <w:ind w:left="0"/>
              <w:rPr>
                <w:b/>
                <w:sz w:val="20"/>
                <w:szCs w:val="20"/>
              </w:rPr>
            </w:pPr>
          </w:p>
          <w:p w14:paraId="24F6022F" w14:textId="77777777" w:rsidR="005B34BD" w:rsidRPr="006B5D7C" w:rsidRDefault="005B34BD" w:rsidP="009664C1">
            <w:pPr>
              <w:pStyle w:val="ListParagraph"/>
              <w:spacing w:after="0" w:line="240" w:lineRule="auto"/>
              <w:ind w:left="0"/>
              <w:rPr>
                <w:b/>
                <w:sz w:val="20"/>
                <w:szCs w:val="20"/>
              </w:rPr>
            </w:pPr>
          </w:p>
          <w:p w14:paraId="1472B49E" w14:textId="488B5984" w:rsidR="009664C1" w:rsidRPr="006B5D7C" w:rsidRDefault="009664C1" w:rsidP="009664C1">
            <w:pPr>
              <w:pStyle w:val="ListParagraph"/>
              <w:spacing w:after="0" w:line="240" w:lineRule="auto"/>
              <w:ind w:left="0"/>
              <w:rPr>
                <w:b/>
                <w:sz w:val="20"/>
                <w:szCs w:val="20"/>
              </w:rPr>
            </w:pPr>
            <w:r w:rsidRPr="006B5D7C">
              <w:rPr>
                <w:b/>
                <w:sz w:val="20"/>
                <w:szCs w:val="20"/>
              </w:rPr>
              <w:t>Consultant</w:t>
            </w:r>
          </w:p>
        </w:tc>
        <w:tc>
          <w:tcPr>
            <w:tcW w:w="7014" w:type="dxa"/>
          </w:tcPr>
          <w:p w14:paraId="0F87D3CA" w14:textId="77777777" w:rsidR="009664C1" w:rsidRPr="006B5D7C" w:rsidRDefault="009664C1">
            <w:pPr>
              <w:pStyle w:val="ListParagraph"/>
              <w:numPr>
                <w:ilvl w:val="0"/>
                <w:numId w:val="16"/>
              </w:numPr>
              <w:spacing w:after="0" w:line="240" w:lineRule="auto"/>
              <w:rPr>
                <w:bCs/>
                <w:sz w:val="20"/>
                <w:szCs w:val="20"/>
              </w:rPr>
            </w:pPr>
            <w:r w:rsidRPr="006B5D7C">
              <w:rPr>
                <w:bCs/>
                <w:sz w:val="20"/>
                <w:szCs w:val="20"/>
              </w:rPr>
              <w:t>Highly developed specialist knowledge and skills</w:t>
            </w:r>
          </w:p>
          <w:p w14:paraId="68D49D4F" w14:textId="77777777" w:rsidR="009664C1" w:rsidRPr="006B5D7C" w:rsidRDefault="009664C1">
            <w:pPr>
              <w:pStyle w:val="ListParagraph"/>
              <w:numPr>
                <w:ilvl w:val="0"/>
                <w:numId w:val="16"/>
              </w:numPr>
              <w:spacing w:after="0" w:line="240" w:lineRule="auto"/>
              <w:rPr>
                <w:bCs/>
                <w:sz w:val="20"/>
                <w:szCs w:val="20"/>
              </w:rPr>
            </w:pPr>
            <w:r w:rsidRPr="006B5D7C">
              <w:rPr>
                <w:bCs/>
                <w:sz w:val="20"/>
                <w:szCs w:val="20"/>
              </w:rPr>
              <w:t>Highly proficient</w:t>
            </w:r>
          </w:p>
          <w:p w14:paraId="3FA3D0FE" w14:textId="2BAFE5FF" w:rsidR="009664C1" w:rsidRPr="006B5D7C" w:rsidRDefault="009664C1">
            <w:pPr>
              <w:pStyle w:val="ListParagraph"/>
              <w:numPr>
                <w:ilvl w:val="0"/>
                <w:numId w:val="16"/>
              </w:numPr>
              <w:spacing w:after="0" w:line="240" w:lineRule="auto"/>
              <w:rPr>
                <w:bCs/>
                <w:sz w:val="20"/>
                <w:szCs w:val="20"/>
              </w:rPr>
            </w:pPr>
            <w:r w:rsidRPr="006B5D7C">
              <w:rPr>
                <w:bCs/>
                <w:sz w:val="20"/>
                <w:szCs w:val="20"/>
              </w:rPr>
              <w:t>Maintains a deep understanding of situations relevant to area of expertise</w:t>
            </w:r>
            <w:r w:rsidR="00A20532" w:rsidRPr="006B5D7C">
              <w:rPr>
                <w:bCs/>
                <w:sz w:val="20"/>
                <w:szCs w:val="20"/>
              </w:rPr>
              <w:t xml:space="preserve"> and makes informed judgments on complex issues </w:t>
            </w:r>
          </w:p>
          <w:p w14:paraId="0A956C54" w14:textId="77777777" w:rsidR="009664C1" w:rsidRPr="006B5D7C" w:rsidRDefault="009664C1">
            <w:pPr>
              <w:pStyle w:val="ListParagraph"/>
              <w:numPr>
                <w:ilvl w:val="0"/>
                <w:numId w:val="16"/>
              </w:numPr>
              <w:spacing w:after="0" w:line="240" w:lineRule="auto"/>
              <w:rPr>
                <w:bCs/>
                <w:sz w:val="20"/>
                <w:szCs w:val="20"/>
              </w:rPr>
            </w:pPr>
            <w:r w:rsidRPr="006B5D7C">
              <w:rPr>
                <w:bCs/>
                <w:sz w:val="20"/>
                <w:szCs w:val="20"/>
              </w:rPr>
              <w:t>Proactive in sharing expert knowledge and experience nationally and internationally</w:t>
            </w:r>
          </w:p>
          <w:p w14:paraId="21699401" w14:textId="77777777" w:rsidR="009664C1" w:rsidRPr="006B5D7C" w:rsidRDefault="009664C1">
            <w:pPr>
              <w:pStyle w:val="ListParagraph"/>
              <w:numPr>
                <w:ilvl w:val="0"/>
                <w:numId w:val="16"/>
              </w:numPr>
              <w:spacing w:after="0" w:line="240" w:lineRule="auto"/>
              <w:rPr>
                <w:bCs/>
                <w:sz w:val="20"/>
                <w:szCs w:val="20"/>
              </w:rPr>
            </w:pPr>
            <w:r w:rsidRPr="006B5D7C">
              <w:rPr>
                <w:bCs/>
                <w:sz w:val="20"/>
                <w:szCs w:val="20"/>
              </w:rPr>
              <w:t>Embeds successful innovative practice, leading this area of expertise</w:t>
            </w:r>
          </w:p>
          <w:p w14:paraId="6A5FBAC2" w14:textId="04369928" w:rsidR="009664C1" w:rsidRPr="006B5D7C" w:rsidRDefault="009664C1">
            <w:pPr>
              <w:pStyle w:val="ListParagraph"/>
              <w:numPr>
                <w:ilvl w:val="0"/>
                <w:numId w:val="16"/>
              </w:numPr>
              <w:spacing w:after="0" w:line="240" w:lineRule="auto"/>
              <w:rPr>
                <w:bCs/>
                <w:sz w:val="20"/>
                <w:szCs w:val="20"/>
              </w:rPr>
            </w:pPr>
            <w:r w:rsidRPr="006B5D7C">
              <w:rPr>
                <w:bCs/>
                <w:sz w:val="20"/>
                <w:szCs w:val="20"/>
              </w:rPr>
              <w:t xml:space="preserve">Communicates complex knowledge to affect improvement in </w:t>
            </w:r>
            <w:r w:rsidR="00EB318F" w:rsidRPr="006B5D7C">
              <w:rPr>
                <w:bCs/>
                <w:sz w:val="20"/>
                <w:szCs w:val="20"/>
              </w:rPr>
              <w:t>relevant</w:t>
            </w:r>
            <w:r w:rsidRPr="006B5D7C">
              <w:rPr>
                <w:bCs/>
                <w:sz w:val="20"/>
                <w:szCs w:val="20"/>
              </w:rPr>
              <w:t xml:space="preserve"> sphere of expertise including to international audiences, often requiring high level diplomacy and negotiation</w:t>
            </w:r>
          </w:p>
        </w:tc>
        <w:tc>
          <w:tcPr>
            <w:tcW w:w="7371" w:type="dxa"/>
          </w:tcPr>
          <w:p w14:paraId="758CA0DB" w14:textId="77777777" w:rsidR="009664C1" w:rsidRPr="006B5D7C" w:rsidRDefault="009664C1">
            <w:pPr>
              <w:pStyle w:val="ListParagraph"/>
              <w:numPr>
                <w:ilvl w:val="0"/>
                <w:numId w:val="16"/>
              </w:numPr>
              <w:spacing w:after="0" w:line="240" w:lineRule="auto"/>
              <w:rPr>
                <w:bCs/>
                <w:sz w:val="20"/>
                <w:szCs w:val="20"/>
              </w:rPr>
            </w:pPr>
            <w:r w:rsidRPr="006B5D7C">
              <w:rPr>
                <w:bCs/>
                <w:sz w:val="20"/>
                <w:szCs w:val="20"/>
              </w:rPr>
              <w:t>Establishes pathways and processes at a local and national level</w:t>
            </w:r>
          </w:p>
          <w:p w14:paraId="2F03DF7B" w14:textId="77777777" w:rsidR="009664C1" w:rsidRPr="006B5D7C" w:rsidRDefault="009664C1">
            <w:pPr>
              <w:pStyle w:val="ListParagraph"/>
              <w:numPr>
                <w:ilvl w:val="0"/>
                <w:numId w:val="16"/>
              </w:numPr>
              <w:spacing w:after="0" w:line="240" w:lineRule="auto"/>
              <w:rPr>
                <w:bCs/>
                <w:sz w:val="20"/>
                <w:szCs w:val="20"/>
              </w:rPr>
            </w:pPr>
            <w:r w:rsidRPr="006B5D7C">
              <w:rPr>
                <w:sz w:val="20"/>
                <w:szCs w:val="20"/>
              </w:rPr>
              <w:t>Leads on national or international service evaluations and audit projects</w:t>
            </w:r>
          </w:p>
          <w:p w14:paraId="42A13724" w14:textId="77777777" w:rsidR="009664C1" w:rsidRPr="006B5D7C" w:rsidRDefault="009664C1">
            <w:pPr>
              <w:pStyle w:val="ListParagraph"/>
              <w:numPr>
                <w:ilvl w:val="0"/>
                <w:numId w:val="16"/>
              </w:numPr>
              <w:spacing w:after="0" w:line="240" w:lineRule="auto"/>
              <w:rPr>
                <w:bCs/>
                <w:sz w:val="20"/>
                <w:szCs w:val="20"/>
              </w:rPr>
            </w:pPr>
            <w:r w:rsidRPr="006B5D7C">
              <w:rPr>
                <w:sz w:val="20"/>
                <w:szCs w:val="20"/>
              </w:rPr>
              <w:t>Leads on evidence-based guidance and national/international standards</w:t>
            </w:r>
          </w:p>
          <w:p w14:paraId="3DCD4887" w14:textId="77777777" w:rsidR="009664C1" w:rsidRPr="006B5D7C" w:rsidRDefault="009664C1">
            <w:pPr>
              <w:pStyle w:val="ListParagraph"/>
              <w:numPr>
                <w:ilvl w:val="0"/>
                <w:numId w:val="16"/>
              </w:numPr>
              <w:spacing w:after="0" w:line="240" w:lineRule="auto"/>
              <w:rPr>
                <w:bCs/>
                <w:sz w:val="20"/>
                <w:szCs w:val="20"/>
              </w:rPr>
            </w:pPr>
            <w:r w:rsidRPr="006B5D7C">
              <w:rPr>
                <w:bCs/>
                <w:sz w:val="20"/>
                <w:szCs w:val="20"/>
              </w:rPr>
              <w:t>Leads in education to all staff and supports local and international institutions in the delivery of education programmes, conferences and symposia</w:t>
            </w:r>
          </w:p>
          <w:p w14:paraId="076444D4" w14:textId="4784AC76" w:rsidR="009664C1" w:rsidRPr="006B5D7C" w:rsidRDefault="009664C1">
            <w:pPr>
              <w:pStyle w:val="ListParagraph"/>
              <w:numPr>
                <w:ilvl w:val="0"/>
                <w:numId w:val="16"/>
              </w:numPr>
              <w:spacing w:after="0" w:line="240" w:lineRule="auto"/>
              <w:rPr>
                <w:bCs/>
                <w:sz w:val="20"/>
                <w:szCs w:val="20"/>
              </w:rPr>
            </w:pPr>
            <w:r w:rsidRPr="006B5D7C">
              <w:rPr>
                <w:bCs/>
                <w:sz w:val="20"/>
                <w:szCs w:val="20"/>
              </w:rPr>
              <w:t xml:space="preserve">Inspires others to deliver </w:t>
            </w:r>
            <w:r w:rsidR="00EB318F" w:rsidRPr="006B5D7C">
              <w:rPr>
                <w:bCs/>
                <w:sz w:val="20"/>
                <w:szCs w:val="20"/>
              </w:rPr>
              <w:t>above and beyond</w:t>
            </w:r>
            <w:r w:rsidRPr="006B5D7C">
              <w:rPr>
                <w:bCs/>
                <w:sz w:val="20"/>
                <w:szCs w:val="20"/>
              </w:rPr>
              <w:t xml:space="preserve"> in terms of quality of service</w:t>
            </w:r>
          </w:p>
          <w:p w14:paraId="2CB12E11" w14:textId="77777777" w:rsidR="009664C1" w:rsidRPr="006B5D7C" w:rsidRDefault="009664C1">
            <w:pPr>
              <w:pStyle w:val="ListParagraph"/>
              <w:numPr>
                <w:ilvl w:val="0"/>
                <w:numId w:val="16"/>
              </w:numPr>
              <w:spacing w:after="0" w:line="240" w:lineRule="auto"/>
              <w:rPr>
                <w:bCs/>
                <w:sz w:val="20"/>
                <w:szCs w:val="20"/>
              </w:rPr>
            </w:pPr>
            <w:r w:rsidRPr="006B5D7C">
              <w:rPr>
                <w:bCs/>
                <w:sz w:val="20"/>
                <w:szCs w:val="20"/>
              </w:rPr>
              <w:t>Mentors senior colleagues across organisation boundaries and professional groups</w:t>
            </w:r>
          </w:p>
          <w:p w14:paraId="24410CBB" w14:textId="3F4D31F2" w:rsidR="009664C1" w:rsidRPr="006B5D7C" w:rsidRDefault="009664C1">
            <w:pPr>
              <w:pStyle w:val="ListParagraph"/>
              <w:numPr>
                <w:ilvl w:val="0"/>
                <w:numId w:val="16"/>
              </w:numPr>
              <w:spacing w:after="0" w:line="240" w:lineRule="auto"/>
              <w:rPr>
                <w:bCs/>
                <w:sz w:val="20"/>
                <w:szCs w:val="20"/>
              </w:rPr>
            </w:pPr>
            <w:r w:rsidRPr="006B5D7C">
              <w:rPr>
                <w:bCs/>
                <w:sz w:val="20"/>
                <w:szCs w:val="20"/>
              </w:rPr>
              <w:t>Is recognised as a</w:t>
            </w:r>
            <w:r w:rsidR="00A20532" w:rsidRPr="006B5D7C">
              <w:rPr>
                <w:bCs/>
                <w:sz w:val="20"/>
                <w:szCs w:val="20"/>
              </w:rPr>
              <w:t xml:space="preserve"> </w:t>
            </w:r>
            <w:r w:rsidRPr="006B5D7C">
              <w:rPr>
                <w:bCs/>
                <w:sz w:val="20"/>
                <w:szCs w:val="20"/>
              </w:rPr>
              <w:t>n</w:t>
            </w:r>
            <w:r w:rsidR="00A20532" w:rsidRPr="006B5D7C">
              <w:rPr>
                <w:bCs/>
                <w:sz w:val="20"/>
                <w:szCs w:val="20"/>
              </w:rPr>
              <w:t>ational and international</w:t>
            </w:r>
            <w:r w:rsidRPr="006B5D7C">
              <w:rPr>
                <w:bCs/>
                <w:sz w:val="20"/>
                <w:szCs w:val="20"/>
              </w:rPr>
              <w:t xml:space="preserve"> opinion leader in their area</w:t>
            </w:r>
          </w:p>
          <w:p w14:paraId="79821E51" w14:textId="3931FB10" w:rsidR="009664C1" w:rsidRPr="006B5D7C" w:rsidRDefault="009664C1">
            <w:pPr>
              <w:pStyle w:val="ListParagraph"/>
              <w:numPr>
                <w:ilvl w:val="0"/>
                <w:numId w:val="16"/>
              </w:numPr>
              <w:spacing w:after="0" w:line="240" w:lineRule="auto"/>
              <w:rPr>
                <w:bCs/>
                <w:sz w:val="20"/>
                <w:szCs w:val="20"/>
              </w:rPr>
            </w:pPr>
            <w:r w:rsidRPr="006B5D7C">
              <w:rPr>
                <w:bCs/>
                <w:sz w:val="20"/>
                <w:szCs w:val="20"/>
              </w:rPr>
              <w:t xml:space="preserve">Plays a pivotal role in guiding the service and leads change within the organisation </w:t>
            </w:r>
          </w:p>
        </w:tc>
      </w:tr>
    </w:tbl>
    <w:p w14:paraId="110D63D4" w14:textId="5DC4E2ED" w:rsidR="000A72CE" w:rsidRPr="00A20532" w:rsidRDefault="000A72CE">
      <w:pPr>
        <w:spacing w:after="200" w:line="276" w:lineRule="auto"/>
      </w:pPr>
    </w:p>
    <w:p w14:paraId="03086E66" w14:textId="77777777" w:rsidR="00023B83" w:rsidRDefault="00023B83">
      <w:pPr>
        <w:spacing w:after="200" w:line="276" w:lineRule="auto"/>
        <w:rPr>
          <w:rFonts w:asciiTheme="majorHAnsi" w:eastAsiaTheme="majorEastAsia" w:hAnsiTheme="majorHAnsi" w:cstheme="majorBidi"/>
          <w:color w:val="365F91" w:themeColor="accent1" w:themeShade="BF"/>
          <w:sz w:val="26"/>
          <w:szCs w:val="26"/>
        </w:rPr>
      </w:pPr>
      <w:r>
        <w:br w:type="page"/>
      </w:r>
    </w:p>
    <w:p w14:paraId="49662290" w14:textId="4944B4E9" w:rsidR="009664C1" w:rsidRDefault="000A72CE">
      <w:pPr>
        <w:pStyle w:val="Heading1"/>
        <w:numPr>
          <w:ilvl w:val="0"/>
          <w:numId w:val="19"/>
        </w:numPr>
      </w:pPr>
      <w:bookmarkStart w:id="8" w:name="_Toc125983081"/>
      <w:r>
        <w:t>Competency Framework Tables</w:t>
      </w:r>
      <w:bookmarkEnd w:id="8"/>
    </w:p>
    <w:p w14:paraId="6BDD29E8" w14:textId="77777777" w:rsidR="00C009F9" w:rsidRPr="00C009F9" w:rsidRDefault="00C009F9" w:rsidP="00C009F9"/>
    <w:p w14:paraId="5537C276" w14:textId="66A0C88B" w:rsidR="002E191D" w:rsidRDefault="00C009F9">
      <w:pPr>
        <w:pStyle w:val="Heading2"/>
        <w:numPr>
          <w:ilvl w:val="1"/>
          <w:numId w:val="19"/>
        </w:numPr>
      </w:pPr>
      <w:bookmarkStart w:id="9" w:name="_Toc125983082"/>
      <w:r>
        <w:t>HIV p</w:t>
      </w:r>
      <w:r w:rsidRPr="0038009F">
        <w:t>athophysiology</w:t>
      </w:r>
      <w:r>
        <w:t>, e</w:t>
      </w:r>
      <w:r w:rsidRPr="0038009F">
        <w:t>pidemiology</w:t>
      </w:r>
      <w:r>
        <w:t xml:space="preserve"> &amp; clinical guidelines</w:t>
      </w:r>
      <w:bookmarkEnd w:id="9"/>
    </w:p>
    <w:p w14:paraId="413A6B77" w14:textId="77777777" w:rsidR="00144AF6" w:rsidRPr="00144AF6" w:rsidRDefault="00144AF6" w:rsidP="00144AF6"/>
    <w:tbl>
      <w:tblPr>
        <w:tblStyle w:val="TableGrid"/>
        <w:tblW w:w="14737" w:type="dxa"/>
        <w:tblLayout w:type="fixed"/>
        <w:tblLook w:val="04A0" w:firstRow="1" w:lastRow="0" w:firstColumn="1" w:lastColumn="0" w:noHBand="0" w:noVBand="1"/>
      </w:tblPr>
      <w:tblGrid>
        <w:gridCol w:w="10060"/>
        <w:gridCol w:w="4677"/>
      </w:tblGrid>
      <w:tr w:rsidR="00411834" w14:paraId="22A8CDD4" w14:textId="77777777" w:rsidTr="005B34BD">
        <w:trPr>
          <w:cantSplit/>
          <w:trHeight w:val="1050"/>
        </w:trPr>
        <w:tc>
          <w:tcPr>
            <w:tcW w:w="10060" w:type="dxa"/>
            <w:shd w:val="clear" w:color="auto" w:fill="F2F2F2" w:themeFill="background1" w:themeFillShade="F2"/>
          </w:tcPr>
          <w:p w14:paraId="1CBD1D57" w14:textId="3DE64990" w:rsidR="00411834" w:rsidRDefault="00411834" w:rsidP="00100593">
            <w:pPr>
              <w:rPr>
                <w:b/>
              </w:rPr>
            </w:pPr>
          </w:p>
          <w:p w14:paraId="19450F51" w14:textId="04E2A5D6" w:rsidR="00411834" w:rsidRPr="00C009F9" w:rsidRDefault="00C009F9" w:rsidP="00C009F9">
            <w:pPr>
              <w:spacing w:after="0" w:line="240" w:lineRule="auto"/>
              <w:rPr>
                <w:b/>
              </w:rPr>
            </w:pPr>
            <w:r>
              <w:t>KNOWLEDGE      Demonstrate good</w:t>
            </w:r>
            <w:r w:rsidRPr="0036044E">
              <w:t xml:space="preserve"> working and background knowledge </w:t>
            </w:r>
            <w:r>
              <w:t xml:space="preserve">(to appropriate level) </w:t>
            </w:r>
            <w:r w:rsidRPr="0036044E">
              <w:t>of:</w:t>
            </w:r>
          </w:p>
        </w:tc>
        <w:tc>
          <w:tcPr>
            <w:tcW w:w="4677" w:type="dxa"/>
            <w:shd w:val="clear" w:color="auto" w:fill="F2F2F2" w:themeFill="background1" w:themeFillShade="F2"/>
          </w:tcPr>
          <w:p w14:paraId="222B2290" w14:textId="078631B2" w:rsidR="00411834" w:rsidRPr="009108C7" w:rsidRDefault="00411834" w:rsidP="000E4A6A">
            <w:pPr>
              <w:jc w:val="both"/>
              <w:rPr>
                <w:b/>
              </w:rPr>
            </w:pPr>
          </w:p>
          <w:p w14:paraId="76512942" w14:textId="77777777" w:rsidR="00411834" w:rsidRPr="006D3E90" w:rsidRDefault="00411834" w:rsidP="00EC723F">
            <w:pPr>
              <w:rPr>
                <w:b/>
              </w:rPr>
            </w:pPr>
            <w:r w:rsidRPr="006D3E90">
              <w:rPr>
                <w:b/>
              </w:rPr>
              <w:t xml:space="preserve">Evidence </w:t>
            </w:r>
          </w:p>
        </w:tc>
      </w:tr>
      <w:tr w:rsidR="00411834" w14:paraId="65BE8F33" w14:textId="77777777" w:rsidTr="00F7020F">
        <w:tc>
          <w:tcPr>
            <w:tcW w:w="10060" w:type="dxa"/>
          </w:tcPr>
          <w:p w14:paraId="40ECF371" w14:textId="0426EFDD" w:rsidR="00411834" w:rsidRDefault="00411834">
            <w:pPr>
              <w:pStyle w:val="ListParagraph"/>
              <w:numPr>
                <w:ilvl w:val="0"/>
                <w:numId w:val="1"/>
              </w:numPr>
              <w:spacing w:after="0" w:line="240" w:lineRule="auto"/>
            </w:pPr>
            <w:r>
              <w:t>The importance of nutrition in HIV and reasons for referral to dietetic services</w:t>
            </w:r>
          </w:p>
        </w:tc>
        <w:tc>
          <w:tcPr>
            <w:tcW w:w="4677" w:type="dxa"/>
          </w:tcPr>
          <w:p w14:paraId="7616DA38" w14:textId="77777777" w:rsidR="00411834" w:rsidRDefault="00411834" w:rsidP="00EC723F"/>
        </w:tc>
      </w:tr>
      <w:tr w:rsidR="00411834" w14:paraId="7C194734" w14:textId="77777777" w:rsidTr="00F7020F">
        <w:tc>
          <w:tcPr>
            <w:tcW w:w="10060" w:type="dxa"/>
          </w:tcPr>
          <w:p w14:paraId="5A889747" w14:textId="77777777" w:rsidR="00411834" w:rsidRDefault="00411834">
            <w:pPr>
              <w:pStyle w:val="ListParagraph"/>
              <w:numPr>
                <w:ilvl w:val="0"/>
                <w:numId w:val="1"/>
              </w:numPr>
              <w:spacing w:after="0" w:line="240" w:lineRule="auto"/>
            </w:pPr>
            <w:r>
              <w:t xml:space="preserve">HIV transmission routes and behaviours putting people at higher risk of HIV infection </w:t>
            </w:r>
          </w:p>
          <w:p w14:paraId="45207362" w14:textId="77777777" w:rsidR="00411834" w:rsidRDefault="00411834" w:rsidP="00EC723F">
            <w:pPr>
              <w:pStyle w:val="ListParagraph"/>
              <w:spacing w:after="0" w:line="240" w:lineRule="auto"/>
              <w:ind w:left="1080"/>
            </w:pPr>
          </w:p>
        </w:tc>
        <w:tc>
          <w:tcPr>
            <w:tcW w:w="4677" w:type="dxa"/>
          </w:tcPr>
          <w:p w14:paraId="741C4894" w14:textId="77777777" w:rsidR="00411834" w:rsidRDefault="00411834" w:rsidP="00EC723F"/>
        </w:tc>
      </w:tr>
      <w:tr w:rsidR="00411834" w14:paraId="0FAF2B5B" w14:textId="77777777" w:rsidTr="00F7020F">
        <w:tc>
          <w:tcPr>
            <w:tcW w:w="10060" w:type="dxa"/>
          </w:tcPr>
          <w:p w14:paraId="70CD9664" w14:textId="6474E858" w:rsidR="00411834" w:rsidRDefault="00411834">
            <w:pPr>
              <w:pStyle w:val="ListParagraph"/>
              <w:numPr>
                <w:ilvl w:val="0"/>
                <w:numId w:val="1"/>
              </w:numPr>
              <w:spacing w:after="0" w:line="240" w:lineRule="auto"/>
            </w:pPr>
            <w:r>
              <w:t>The importance of antiretroviral therapy in relation to CD4 count and viral load (VL) and significance of an undetectable VL for transmission</w:t>
            </w:r>
          </w:p>
        </w:tc>
        <w:tc>
          <w:tcPr>
            <w:tcW w:w="4677" w:type="dxa"/>
          </w:tcPr>
          <w:p w14:paraId="0DBFBC80" w14:textId="77777777" w:rsidR="00411834" w:rsidRDefault="00411834" w:rsidP="00EC723F"/>
        </w:tc>
      </w:tr>
      <w:tr w:rsidR="00411834" w14:paraId="765A749A" w14:textId="77777777" w:rsidTr="00F7020F">
        <w:trPr>
          <w:trHeight w:val="463"/>
        </w:trPr>
        <w:tc>
          <w:tcPr>
            <w:tcW w:w="10060" w:type="dxa"/>
          </w:tcPr>
          <w:p w14:paraId="4E1F0605" w14:textId="494D03BC" w:rsidR="00411834" w:rsidRPr="009108C7" w:rsidRDefault="00411834">
            <w:pPr>
              <w:pStyle w:val="NormalWeb"/>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 different phases of HIV infection (e.g. acute, chronic latent, advanced HIV)</w:t>
            </w:r>
          </w:p>
        </w:tc>
        <w:tc>
          <w:tcPr>
            <w:tcW w:w="4677" w:type="dxa"/>
            <w:shd w:val="clear" w:color="auto" w:fill="auto"/>
          </w:tcPr>
          <w:p w14:paraId="50556041" w14:textId="77777777" w:rsidR="00411834" w:rsidRDefault="00411834" w:rsidP="00EC723F"/>
        </w:tc>
      </w:tr>
      <w:tr w:rsidR="00411834" w14:paraId="23E51AD8" w14:textId="77777777" w:rsidTr="000E4A6A">
        <w:trPr>
          <w:trHeight w:val="569"/>
        </w:trPr>
        <w:tc>
          <w:tcPr>
            <w:tcW w:w="10060" w:type="dxa"/>
          </w:tcPr>
          <w:p w14:paraId="073833BB" w14:textId="76D79703" w:rsidR="00411834" w:rsidRDefault="00411834">
            <w:pPr>
              <w:pStyle w:val="NormalWeb"/>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impact of HIV on immune function and risks of illness at different phases of infection </w:t>
            </w:r>
          </w:p>
        </w:tc>
        <w:tc>
          <w:tcPr>
            <w:tcW w:w="4677" w:type="dxa"/>
            <w:shd w:val="clear" w:color="auto" w:fill="auto"/>
          </w:tcPr>
          <w:p w14:paraId="75E66CB4" w14:textId="77777777" w:rsidR="00411834" w:rsidRDefault="00411834" w:rsidP="00EC723F"/>
        </w:tc>
      </w:tr>
      <w:tr w:rsidR="00411834" w14:paraId="7494D5A2" w14:textId="77777777" w:rsidTr="000E4A6A">
        <w:tc>
          <w:tcPr>
            <w:tcW w:w="10060" w:type="dxa"/>
          </w:tcPr>
          <w:p w14:paraId="2743A836" w14:textId="4F9EA5E7" w:rsidR="00411834" w:rsidRDefault="00F20953">
            <w:pPr>
              <w:pStyle w:val="ListParagraph"/>
              <w:numPr>
                <w:ilvl w:val="0"/>
                <w:numId w:val="1"/>
              </w:numPr>
              <w:spacing w:after="0" w:line="240" w:lineRule="auto"/>
            </w:pPr>
            <w:r>
              <w:t>The s</w:t>
            </w:r>
            <w:r w:rsidR="00411834">
              <w:t xml:space="preserve">igns and symptoms of acute and chronic HIV-related conditions and comorbidities </w:t>
            </w:r>
          </w:p>
        </w:tc>
        <w:tc>
          <w:tcPr>
            <w:tcW w:w="4677" w:type="dxa"/>
            <w:shd w:val="clear" w:color="auto" w:fill="auto"/>
          </w:tcPr>
          <w:p w14:paraId="4D9552C3" w14:textId="77777777" w:rsidR="00411834" w:rsidRDefault="00411834" w:rsidP="00EC723F"/>
        </w:tc>
      </w:tr>
      <w:tr w:rsidR="00F20953" w14:paraId="7A285E6C" w14:textId="77777777" w:rsidTr="00411834">
        <w:tc>
          <w:tcPr>
            <w:tcW w:w="10060" w:type="dxa"/>
          </w:tcPr>
          <w:p w14:paraId="3C8F7FAE" w14:textId="5C31B055" w:rsidR="00F20953" w:rsidRDefault="00F20953">
            <w:pPr>
              <w:pStyle w:val="ListParagraph"/>
              <w:numPr>
                <w:ilvl w:val="0"/>
                <w:numId w:val="1"/>
              </w:numPr>
              <w:spacing w:after="0" w:line="240" w:lineRule="auto"/>
            </w:pPr>
            <w:r>
              <w:t>The BHIVA standards of care for PLHIV</w:t>
            </w:r>
            <w:r w:rsidR="00E15393">
              <w:rPr>
                <w:vertAlign w:val="superscript"/>
              </w:rPr>
              <w:t>(1)</w:t>
            </w:r>
          </w:p>
        </w:tc>
        <w:tc>
          <w:tcPr>
            <w:tcW w:w="4677" w:type="dxa"/>
            <w:shd w:val="clear" w:color="auto" w:fill="auto"/>
          </w:tcPr>
          <w:p w14:paraId="6821F7B2" w14:textId="77777777" w:rsidR="00F20953" w:rsidRDefault="00F20953" w:rsidP="00F20953"/>
        </w:tc>
      </w:tr>
      <w:tr w:rsidR="000D1E52" w14:paraId="5CE6D5DD" w14:textId="77777777" w:rsidTr="00411834">
        <w:tc>
          <w:tcPr>
            <w:tcW w:w="10060" w:type="dxa"/>
          </w:tcPr>
          <w:p w14:paraId="61D7EEBB" w14:textId="1415D2B0" w:rsidR="000D1E52" w:rsidRDefault="000D1E52">
            <w:pPr>
              <w:pStyle w:val="ListParagraph"/>
              <w:numPr>
                <w:ilvl w:val="0"/>
                <w:numId w:val="1"/>
              </w:numPr>
              <w:spacing w:after="0" w:line="240" w:lineRule="auto"/>
            </w:pPr>
            <w:r>
              <w:t xml:space="preserve">Key clinical guidelines for the care of PLHIV e.g. </w:t>
            </w:r>
            <w:r w:rsidRPr="003F3169">
              <w:t>European AIDS Clinical Society Guidelines 2021</w:t>
            </w:r>
            <w:r>
              <w:rPr>
                <w:vertAlign w:val="superscript"/>
              </w:rPr>
              <w:t>(9)</w:t>
            </w:r>
          </w:p>
        </w:tc>
        <w:tc>
          <w:tcPr>
            <w:tcW w:w="4677" w:type="dxa"/>
            <w:shd w:val="clear" w:color="auto" w:fill="auto"/>
          </w:tcPr>
          <w:p w14:paraId="33EE6D60" w14:textId="77777777" w:rsidR="000D1E52" w:rsidRDefault="000D1E52" w:rsidP="00F20953"/>
        </w:tc>
      </w:tr>
      <w:tr w:rsidR="00F20953" w14:paraId="7F7E894A" w14:textId="77777777" w:rsidTr="00305A79">
        <w:tc>
          <w:tcPr>
            <w:tcW w:w="10060" w:type="dxa"/>
          </w:tcPr>
          <w:p w14:paraId="0CD49D0B" w14:textId="05769A76" w:rsidR="00F20953" w:rsidRDefault="00F20953">
            <w:pPr>
              <w:pStyle w:val="ListParagraph"/>
              <w:numPr>
                <w:ilvl w:val="0"/>
                <w:numId w:val="1"/>
              </w:numPr>
              <w:spacing w:after="0" w:line="240" w:lineRule="auto"/>
            </w:pPr>
            <w:r>
              <w:t>Where to access local and national HIV epidemiology data</w:t>
            </w:r>
            <w:r w:rsidR="004E39A8">
              <w:t xml:space="preserve"> (e.g. HPA, UNAIDS / WHO annual report)</w:t>
            </w:r>
          </w:p>
        </w:tc>
        <w:tc>
          <w:tcPr>
            <w:tcW w:w="4677" w:type="dxa"/>
            <w:shd w:val="clear" w:color="auto" w:fill="auto"/>
          </w:tcPr>
          <w:p w14:paraId="1E7166B9" w14:textId="77777777" w:rsidR="00F20953" w:rsidRDefault="00F20953" w:rsidP="00F20953"/>
        </w:tc>
      </w:tr>
    </w:tbl>
    <w:p w14:paraId="4F1DB7FE" w14:textId="327E32B6" w:rsidR="0049474E" w:rsidRDefault="0049474E"/>
    <w:p w14:paraId="73AC11D4" w14:textId="77777777" w:rsidR="00C009F9" w:rsidRDefault="00C009F9">
      <w:pPr>
        <w:spacing w:after="200" w:line="276" w:lineRule="auto"/>
        <w:rPr>
          <w:rFonts w:asciiTheme="majorHAnsi" w:eastAsiaTheme="majorEastAsia" w:hAnsiTheme="majorHAnsi" w:cstheme="majorBidi"/>
          <w:color w:val="365F91" w:themeColor="accent1" w:themeShade="BF"/>
          <w:sz w:val="26"/>
          <w:szCs w:val="26"/>
        </w:rPr>
      </w:pPr>
      <w:r>
        <w:br w:type="page"/>
      </w:r>
    </w:p>
    <w:p w14:paraId="2E6C33EE" w14:textId="55D852A8" w:rsidR="00C009F9" w:rsidRDefault="00C009F9">
      <w:pPr>
        <w:pStyle w:val="Heading2"/>
        <w:numPr>
          <w:ilvl w:val="1"/>
          <w:numId w:val="19"/>
        </w:numPr>
      </w:pPr>
      <w:bookmarkStart w:id="10" w:name="_Toc125983083"/>
      <w:r w:rsidRPr="00C009F9">
        <w:t>Social, economic and psychological needs of PLHIV</w:t>
      </w:r>
      <w:bookmarkEnd w:id="10"/>
    </w:p>
    <w:p w14:paraId="66E7D344" w14:textId="77777777" w:rsidR="00144AF6" w:rsidRPr="00144AF6" w:rsidRDefault="00144AF6" w:rsidP="00144AF6"/>
    <w:tbl>
      <w:tblPr>
        <w:tblStyle w:val="TableGrid"/>
        <w:tblW w:w="14737" w:type="dxa"/>
        <w:tblLayout w:type="fixed"/>
        <w:tblLook w:val="04A0" w:firstRow="1" w:lastRow="0" w:firstColumn="1" w:lastColumn="0" w:noHBand="0" w:noVBand="1"/>
      </w:tblPr>
      <w:tblGrid>
        <w:gridCol w:w="10060"/>
        <w:gridCol w:w="4677"/>
      </w:tblGrid>
      <w:tr w:rsidR="00187396" w14:paraId="1CF7BC5A" w14:textId="77777777" w:rsidTr="005B34BD">
        <w:trPr>
          <w:cantSplit/>
          <w:trHeight w:val="1050"/>
        </w:trPr>
        <w:tc>
          <w:tcPr>
            <w:tcW w:w="10060" w:type="dxa"/>
            <w:shd w:val="clear" w:color="auto" w:fill="F2F2F2" w:themeFill="background1" w:themeFillShade="F2"/>
          </w:tcPr>
          <w:p w14:paraId="42286078" w14:textId="77777777" w:rsidR="00187396" w:rsidRDefault="00187396" w:rsidP="00EC723F">
            <w:pPr>
              <w:rPr>
                <w:b/>
              </w:rPr>
            </w:pPr>
          </w:p>
          <w:p w14:paraId="66C7B46C" w14:textId="6D29692F" w:rsidR="00187396" w:rsidRPr="00144AF6" w:rsidRDefault="00C009F9" w:rsidP="00144AF6">
            <w:pPr>
              <w:spacing w:after="0" w:line="240" w:lineRule="auto"/>
              <w:rPr>
                <w:b/>
                <w:sz w:val="28"/>
                <w:szCs w:val="28"/>
              </w:rPr>
            </w:pPr>
            <w:r>
              <w:t>KNOWLEDGE      Demonstrate good</w:t>
            </w:r>
            <w:r w:rsidRPr="0036044E">
              <w:t xml:space="preserve"> working and background knowledge </w:t>
            </w:r>
            <w:r>
              <w:t xml:space="preserve">(to appropriate level) </w:t>
            </w:r>
            <w:r w:rsidRPr="0036044E">
              <w:t>of:</w:t>
            </w:r>
          </w:p>
        </w:tc>
        <w:tc>
          <w:tcPr>
            <w:tcW w:w="4677" w:type="dxa"/>
            <w:shd w:val="clear" w:color="auto" w:fill="F2F2F2" w:themeFill="background1" w:themeFillShade="F2"/>
          </w:tcPr>
          <w:p w14:paraId="62582C32" w14:textId="77777777" w:rsidR="00187396" w:rsidRDefault="00187396" w:rsidP="00187396">
            <w:pPr>
              <w:jc w:val="both"/>
              <w:rPr>
                <w:b/>
              </w:rPr>
            </w:pPr>
          </w:p>
          <w:p w14:paraId="6BA4665C" w14:textId="77777777" w:rsidR="00187396" w:rsidRDefault="00187396" w:rsidP="00187396">
            <w:pPr>
              <w:jc w:val="both"/>
            </w:pPr>
            <w:r w:rsidRPr="000045EA">
              <w:rPr>
                <w:b/>
              </w:rPr>
              <w:t>Evidence</w:t>
            </w:r>
          </w:p>
        </w:tc>
      </w:tr>
      <w:tr w:rsidR="00187396" w14:paraId="669A1DD3" w14:textId="77777777" w:rsidTr="00305A79">
        <w:tc>
          <w:tcPr>
            <w:tcW w:w="10060" w:type="dxa"/>
          </w:tcPr>
          <w:p w14:paraId="670195F2" w14:textId="49DEE998" w:rsidR="00187396" w:rsidRDefault="00187396">
            <w:pPr>
              <w:pStyle w:val="ListParagraph"/>
              <w:numPr>
                <w:ilvl w:val="0"/>
                <w:numId w:val="2"/>
              </w:numPr>
            </w:pPr>
            <w:r>
              <w:t xml:space="preserve">Populations and user groups represented in HIV clinic population and </w:t>
            </w:r>
            <w:r w:rsidR="00561B12">
              <w:t xml:space="preserve">ways in which </w:t>
            </w:r>
            <w:r>
              <w:t>backgrounds, lifestyles and culture may influence nutritional needs and engagement with care</w:t>
            </w:r>
          </w:p>
        </w:tc>
        <w:tc>
          <w:tcPr>
            <w:tcW w:w="4677" w:type="dxa"/>
            <w:shd w:val="clear" w:color="auto" w:fill="auto"/>
          </w:tcPr>
          <w:p w14:paraId="2C3E218E" w14:textId="77777777" w:rsidR="00187396" w:rsidRDefault="00187396" w:rsidP="00EC723F"/>
        </w:tc>
      </w:tr>
      <w:tr w:rsidR="00187396" w14:paraId="2700A7B5" w14:textId="77777777" w:rsidTr="00F7020F">
        <w:tc>
          <w:tcPr>
            <w:tcW w:w="10060" w:type="dxa"/>
          </w:tcPr>
          <w:p w14:paraId="41770E4E" w14:textId="7E9AE204" w:rsidR="00187396" w:rsidRPr="009108C7" w:rsidRDefault="00561B12">
            <w:pPr>
              <w:pStyle w:val="NormalWeb"/>
              <w:numPr>
                <w:ilvl w:val="0"/>
                <w:numId w:val="2"/>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HIV-related s</w:t>
            </w:r>
            <w:r w:rsidR="00187396">
              <w:rPr>
                <w:rFonts w:asciiTheme="minorHAnsi" w:eastAsiaTheme="minorHAnsi" w:hAnsiTheme="minorHAnsi" w:cstheme="minorBidi"/>
                <w:sz w:val="22"/>
                <w:szCs w:val="22"/>
                <w:lang w:eastAsia="en-US"/>
              </w:rPr>
              <w:t xml:space="preserve">tigma, </w:t>
            </w:r>
            <w:r w:rsidR="00187396" w:rsidRPr="009108C7">
              <w:rPr>
                <w:rFonts w:asciiTheme="minorHAnsi" w:eastAsiaTheme="minorHAnsi" w:hAnsiTheme="minorHAnsi" w:cstheme="minorBidi"/>
                <w:sz w:val="22"/>
                <w:szCs w:val="22"/>
                <w:lang w:eastAsia="en-US"/>
              </w:rPr>
              <w:t xml:space="preserve">the need to respect confidentiality and the impact </w:t>
            </w:r>
            <w:r w:rsidR="00187396">
              <w:rPr>
                <w:rFonts w:asciiTheme="minorHAnsi" w:eastAsiaTheme="minorHAnsi" w:hAnsiTheme="minorHAnsi" w:cstheme="minorBidi"/>
                <w:sz w:val="22"/>
                <w:szCs w:val="22"/>
                <w:lang w:eastAsia="en-US"/>
              </w:rPr>
              <w:t>this</w:t>
            </w:r>
            <w:r w:rsidR="00187396" w:rsidRPr="009108C7">
              <w:rPr>
                <w:rFonts w:asciiTheme="minorHAnsi" w:eastAsiaTheme="minorHAnsi" w:hAnsiTheme="minorHAnsi" w:cstheme="minorBidi"/>
                <w:sz w:val="22"/>
                <w:szCs w:val="22"/>
                <w:lang w:eastAsia="en-US"/>
              </w:rPr>
              <w:t xml:space="preserve"> may have on compliance with dietary and lifestyle advice</w:t>
            </w:r>
          </w:p>
        </w:tc>
        <w:tc>
          <w:tcPr>
            <w:tcW w:w="4677" w:type="dxa"/>
            <w:shd w:val="clear" w:color="auto" w:fill="auto"/>
          </w:tcPr>
          <w:p w14:paraId="3B938FCE" w14:textId="77777777" w:rsidR="00187396" w:rsidRDefault="00187396" w:rsidP="00EC723F"/>
        </w:tc>
      </w:tr>
      <w:tr w:rsidR="00187396" w14:paraId="4339D8AC" w14:textId="77777777" w:rsidTr="00305A79">
        <w:tc>
          <w:tcPr>
            <w:tcW w:w="10060" w:type="dxa"/>
          </w:tcPr>
          <w:p w14:paraId="5F2E845F" w14:textId="14C90BD9" w:rsidR="00187396" w:rsidRDefault="00187396">
            <w:pPr>
              <w:pStyle w:val="ListParagraph"/>
              <w:numPr>
                <w:ilvl w:val="0"/>
                <w:numId w:val="2"/>
              </w:numPr>
            </w:pPr>
            <w:r>
              <w:t>Process of referral to local and national</w:t>
            </w:r>
            <w:r w:rsidRPr="009108C7">
              <w:t xml:space="preserve"> charities, support groups and voluntary organisations </w:t>
            </w:r>
            <w:r w:rsidR="00D86DA9">
              <w:t xml:space="preserve">(including food provision services) </w:t>
            </w:r>
            <w:r w:rsidRPr="009108C7">
              <w:t>who support PLHIV and/ or those from vulnerable groups represented in clinic populations</w:t>
            </w:r>
          </w:p>
        </w:tc>
        <w:tc>
          <w:tcPr>
            <w:tcW w:w="4677" w:type="dxa"/>
            <w:shd w:val="clear" w:color="auto" w:fill="auto"/>
          </w:tcPr>
          <w:p w14:paraId="17F593F5" w14:textId="77777777" w:rsidR="00187396" w:rsidRDefault="00187396" w:rsidP="00EC723F"/>
        </w:tc>
      </w:tr>
      <w:tr w:rsidR="00187396" w14:paraId="39FA9401" w14:textId="77777777" w:rsidTr="00305A79">
        <w:tc>
          <w:tcPr>
            <w:tcW w:w="10060" w:type="dxa"/>
          </w:tcPr>
          <w:p w14:paraId="1D3A20F1" w14:textId="391BA197" w:rsidR="00187396" w:rsidRPr="009108C7" w:rsidRDefault="00561B12">
            <w:pPr>
              <w:pStyle w:val="ListParagraph"/>
              <w:numPr>
                <w:ilvl w:val="0"/>
                <w:numId w:val="2"/>
              </w:numPr>
            </w:pPr>
            <w:r>
              <w:t>Increased prevalence of a</w:t>
            </w:r>
            <w:r w:rsidR="00187396">
              <w:t xml:space="preserve">nxiety, </w:t>
            </w:r>
            <w:r w:rsidR="00187396" w:rsidRPr="009108C7">
              <w:t xml:space="preserve">depression and other </w:t>
            </w:r>
            <w:r w:rsidR="007764A2">
              <w:t>mental health difficulties</w:t>
            </w:r>
            <w:r w:rsidR="00187396">
              <w:t xml:space="preserve"> in PLHIV</w:t>
            </w:r>
            <w:r w:rsidR="00187396" w:rsidRPr="009108C7">
              <w:t xml:space="preserve"> </w:t>
            </w:r>
            <w:r>
              <w:t>compared to the general population</w:t>
            </w:r>
          </w:p>
        </w:tc>
        <w:tc>
          <w:tcPr>
            <w:tcW w:w="4677" w:type="dxa"/>
            <w:shd w:val="clear" w:color="auto" w:fill="auto"/>
          </w:tcPr>
          <w:p w14:paraId="375E5BF5" w14:textId="77777777" w:rsidR="00187396" w:rsidRDefault="00187396" w:rsidP="00EC723F"/>
        </w:tc>
      </w:tr>
      <w:tr w:rsidR="00187396" w14:paraId="23263847" w14:textId="77777777" w:rsidTr="00305A79">
        <w:tc>
          <w:tcPr>
            <w:tcW w:w="10060" w:type="dxa"/>
          </w:tcPr>
          <w:p w14:paraId="5D0CC793" w14:textId="77777777" w:rsidR="00187396" w:rsidRDefault="00187396">
            <w:pPr>
              <w:pStyle w:val="ListParagraph"/>
              <w:numPr>
                <w:ilvl w:val="0"/>
                <w:numId w:val="2"/>
              </w:numPr>
            </w:pPr>
            <w:r>
              <w:t>Overlap of HIV-related stigma with other issues including racism, homophobia, weight stigma and social isolation</w:t>
            </w:r>
          </w:p>
        </w:tc>
        <w:tc>
          <w:tcPr>
            <w:tcW w:w="4677" w:type="dxa"/>
            <w:shd w:val="clear" w:color="auto" w:fill="auto"/>
          </w:tcPr>
          <w:p w14:paraId="2B958BF0" w14:textId="77777777" w:rsidR="00187396" w:rsidRDefault="00187396" w:rsidP="00EC723F"/>
        </w:tc>
      </w:tr>
      <w:tr w:rsidR="00187396" w14:paraId="7D4EC2C9" w14:textId="77777777" w:rsidTr="00F7020F">
        <w:tc>
          <w:tcPr>
            <w:tcW w:w="10060" w:type="dxa"/>
          </w:tcPr>
          <w:p w14:paraId="0C49B737" w14:textId="29FA16B0" w:rsidR="00187396" w:rsidRDefault="00187396">
            <w:pPr>
              <w:pStyle w:val="ListParagraph"/>
              <w:numPr>
                <w:ilvl w:val="0"/>
                <w:numId w:val="2"/>
              </w:numPr>
            </w:pPr>
            <w:r>
              <w:t>P</w:t>
            </w:r>
            <w:r w:rsidRPr="009108C7">
              <w:t xml:space="preserve">sychosocial and economic impact of living with HIV and </w:t>
            </w:r>
            <w:r>
              <w:t xml:space="preserve">relevance </w:t>
            </w:r>
            <w:r w:rsidR="00561B12">
              <w:t xml:space="preserve">to treatment adherence and dietary / lifestyle goals </w:t>
            </w:r>
            <w:r>
              <w:t xml:space="preserve">(considering </w:t>
            </w:r>
            <w:r w:rsidRPr="009108C7">
              <w:t>low income, lack of cooking facilities</w:t>
            </w:r>
            <w:r>
              <w:t xml:space="preserve"> and lack of social support)</w:t>
            </w:r>
          </w:p>
        </w:tc>
        <w:tc>
          <w:tcPr>
            <w:tcW w:w="4677" w:type="dxa"/>
            <w:shd w:val="clear" w:color="auto" w:fill="auto"/>
          </w:tcPr>
          <w:p w14:paraId="7DFA1042" w14:textId="77777777" w:rsidR="00187396" w:rsidRDefault="00187396" w:rsidP="00EC723F"/>
        </w:tc>
      </w:tr>
    </w:tbl>
    <w:p w14:paraId="6E17E30B" w14:textId="7A451C0D" w:rsidR="009544E8" w:rsidRDefault="009544E8" w:rsidP="009544E8">
      <w:pPr>
        <w:tabs>
          <w:tab w:val="center" w:pos="6979"/>
        </w:tabs>
      </w:pPr>
      <w:r>
        <w:tab/>
      </w:r>
    </w:p>
    <w:p w14:paraId="3BE80026" w14:textId="77777777" w:rsidR="009544E8" w:rsidRDefault="009544E8">
      <w:pPr>
        <w:spacing w:after="200" w:line="276" w:lineRule="auto"/>
      </w:pPr>
      <w:r>
        <w:br w:type="page"/>
      </w:r>
    </w:p>
    <w:tbl>
      <w:tblPr>
        <w:tblStyle w:val="TableGrid"/>
        <w:tblW w:w="14737" w:type="dxa"/>
        <w:tblLayout w:type="fixed"/>
        <w:tblLook w:val="04A0" w:firstRow="1" w:lastRow="0" w:firstColumn="1" w:lastColumn="0" w:noHBand="0" w:noVBand="1"/>
      </w:tblPr>
      <w:tblGrid>
        <w:gridCol w:w="10060"/>
        <w:gridCol w:w="4677"/>
      </w:tblGrid>
      <w:tr w:rsidR="007764A2" w14:paraId="6781797A" w14:textId="77777777" w:rsidTr="005B34BD">
        <w:trPr>
          <w:trHeight w:val="1125"/>
        </w:trPr>
        <w:tc>
          <w:tcPr>
            <w:tcW w:w="10060" w:type="dxa"/>
            <w:shd w:val="clear" w:color="auto" w:fill="F2F2F2" w:themeFill="background1" w:themeFillShade="F2"/>
          </w:tcPr>
          <w:p w14:paraId="0663AFA6" w14:textId="77777777" w:rsidR="00144AF6" w:rsidRDefault="00144AF6" w:rsidP="00C009F9"/>
          <w:p w14:paraId="40EEA7F5" w14:textId="68B517EC" w:rsidR="007764A2" w:rsidRPr="009108C7" w:rsidRDefault="00C009F9" w:rsidP="00C009F9">
            <w:r>
              <w:t>SKILLS          Be able to (appropriate to level and experience):</w:t>
            </w:r>
          </w:p>
        </w:tc>
        <w:tc>
          <w:tcPr>
            <w:tcW w:w="4677" w:type="dxa"/>
            <w:shd w:val="clear" w:color="auto" w:fill="F2F2F2" w:themeFill="background1" w:themeFillShade="F2"/>
          </w:tcPr>
          <w:p w14:paraId="212A3C80" w14:textId="77777777" w:rsidR="00A31DB5" w:rsidRDefault="00A31DB5" w:rsidP="00EC723F">
            <w:pPr>
              <w:rPr>
                <w:b/>
              </w:rPr>
            </w:pPr>
          </w:p>
          <w:p w14:paraId="6A44ABD8" w14:textId="2AA543E4" w:rsidR="007764A2" w:rsidRPr="00144AF6" w:rsidRDefault="00C009F9" w:rsidP="00EC723F">
            <w:pPr>
              <w:rPr>
                <w:b/>
              </w:rPr>
            </w:pPr>
            <w:r w:rsidRPr="00144AF6">
              <w:rPr>
                <w:b/>
              </w:rPr>
              <w:t>Evidence</w:t>
            </w:r>
          </w:p>
        </w:tc>
      </w:tr>
      <w:tr w:rsidR="00C009F9" w14:paraId="434F0F67" w14:textId="77777777" w:rsidTr="00F7020F">
        <w:tc>
          <w:tcPr>
            <w:tcW w:w="10060" w:type="dxa"/>
          </w:tcPr>
          <w:p w14:paraId="2A726366" w14:textId="373F23B2" w:rsidR="00C009F9" w:rsidRDefault="00C009F9">
            <w:pPr>
              <w:pStyle w:val="ListParagraph"/>
              <w:numPr>
                <w:ilvl w:val="0"/>
                <w:numId w:val="2"/>
              </w:numPr>
            </w:pPr>
            <w:r>
              <w:t>Take into account cultural, psychosocial and economic factors when making dietetic assessments and giving advice</w:t>
            </w:r>
          </w:p>
        </w:tc>
        <w:tc>
          <w:tcPr>
            <w:tcW w:w="4677" w:type="dxa"/>
            <w:shd w:val="clear" w:color="auto" w:fill="FFFFFF" w:themeFill="background1"/>
          </w:tcPr>
          <w:p w14:paraId="015C0C43" w14:textId="77777777" w:rsidR="00C009F9" w:rsidRDefault="00C009F9" w:rsidP="00C009F9"/>
        </w:tc>
      </w:tr>
      <w:tr w:rsidR="00C009F9" w14:paraId="69B398A2" w14:textId="77777777" w:rsidTr="00F7020F">
        <w:tc>
          <w:tcPr>
            <w:tcW w:w="10060" w:type="dxa"/>
          </w:tcPr>
          <w:p w14:paraId="2F5A4FEB" w14:textId="6CB96F3A" w:rsidR="00C009F9" w:rsidRDefault="00C009F9">
            <w:pPr>
              <w:pStyle w:val="ListParagraph"/>
              <w:numPr>
                <w:ilvl w:val="0"/>
                <w:numId w:val="2"/>
              </w:numPr>
            </w:pPr>
            <w:r>
              <w:t>Communicate</w:t>
            </w:r>
            <w:r w:rsidRPr="00A50C8C">
              <w:t xml:space="preserve"> effectively with PLHIV across communication, language and cultural barriers, including </w:t>
            </w:r>
            <w:r>
              <w:t>v</w:t>
            </w:r>
            <w:r w:rsidRPr="00A50C8C">
              <w:t xml:space="preserve">ia interpreters. </w:t>
            </w:r>
          </w:p>
        </w:tc>
        <w:tc>
          <w:tcPr>
            <w:tcW w:w="4677" w:type="dxa"/>
            <w:shd w:val="clear" w:color="auto" w:fill="FFFFFF" w:themeFill="background1"/>
          </w:tcPr>
          <w:p w14:paraId="36B8C6E9" w14:textId="77777777" w:rsidR="00C009F9" w:rsidRDefault="00C009F9" w:rsidP="00C009F9"/>
        </w:tc>
      </w:tr>
      <w:tr w:rsidR="00C009F9" w14:paraId="3798FADC" w14:textId="77777777" w:rsidTr="00305A79">
        <w:tc>
          <w:tcPr>
            <w:tcW w:w="10060" w:type="dxa"/>
          </w:tcPr>
          <w:p w14:paraId="7A860A14" w14:textId="20ECFC7B" w:rsidR="00C009F9" w:rsidRPr="009108C7" w:rsidRDefault="00C009F9">
            <w:pPr>
              <w:pStyle w:val="ListParagraph"/>
              <w:numPr>
                <w:ilvl w:val="0"/>
                <w:numId w:val="2"/>
              </w:numPr>
            </w:pPr>
            <w:r>
              <w:t>Communicate</w:t>
            </w:r>
            <w:r w:rsidRPr="00A50C8C">
              <w:t xml:space="preserve"> sensitive and/or complex information to PLHIV </w:t>
            </w:r>
          </w:p>
        </w:tc>
        <w:tc>
          <w:tcPr>
            <w:tcW w:w="4677" w:type="dxa"/>
            <w:shd w:val="clear" w:color="auto" w:fill="auto"/>
          </w:tcPr>
          <w:p w14:paraId="0A21391E" w14:textId="77777777" w:rsidR="00C009F9" w:rsidRDefault="00C009F9" w:rsidP="00C009F9"/>
        </w:tc>
      </w:tr>
      <w:tr w:rsidR="00C009F9" w14:paraId="28AB14EC" w14:textId="77777777" w:rsidTr="00305A79">
        <w:tc>
          <w:tcPr>
            <w:tcW w:w="10060" w:type="dxa"/>
          </w:tcPr>
          <w:p w14:paraId="02DC94EB" w14:textId="3E9ED0A0" w:rsidR="00C009F9" w:rsidRPr="009108C7" w:rsidRDefault="00C009F9">
            <w:pPr>
              <w:pStyle w:val="ListParagraph"/>
              <w:numPr>
                <w:ilvl w:val="0"/>
                <w:numId w:val="2"/>
              </w:numPr>
            </w:pPr>
            <w:r>
              <w:t>Make appropriate referrals</w:t>
            </w:r>
            <w:r w:rsidRPr="009108C7">
              <w:t xml:space="preserve"> </w:t>
            </w:r>
            <w:r>
              <w:t>and /or liaise with</w:t>
            </w:r>
            <w:r w:rsidRPr="009108C7">
              <w:t xml:space="preserve"> other members of the MDT to support PLHIV with social, economic and psychological issues</w:t>
            </w:r>
          </w:p>
        </w:tc>
        <w:tc>
          <w:tcPr>
            <w:tcW w:w="4677" w:type="dxa"/>
            <w:shd w:val="clear" w:color="auto" w:fill="auto"/>
          </w:tcPr>
          <w:p w14:paraId="513CE85D" w14:textId="77777777" w:rsidR="00C009F9" w:rsidRDefault="00C009F9" w:rsidP="00C009F9"/>
        </w:tc>
      </w:tr>
      <w:tr w:rsidR="00C009F9" w14:paraId="511AB826" w14:textId="77777777" w:rsidTr="00305A79">
        <w:tc>
          <w:tcPr>
            <w:tcW w:w="10060" w:type="dxa"/>
          </w:tcPr>
          <w:p w14:paraId="464E731B" w14:textId="6DB67113" w:rsidR="00C009F9" w:rsidRPr="009108C7" w:rsidRDefault="00C009F9">
            <w:pPr>
              <w:pStyle w:val="ListParagraph"/>
              <w:numPr>
                <w:ilvl w:val="0"/>
                <w:numId w:val="2"/>
              </w:numPr>
            </w:pPr>
            <w:r>
              <w:t>Build and maintain r</w:t>
            </w:r>
            <w:r w:rsidRPr="009108C7">
              <w:t>elationships and contacts with charities, support groups and voluntary organisations working locally</w:t>
            </w:r>
            <w:r>
              <w:t>,</w:t>
            </w:r>
            <w:r w:rsidRPr="009108C7">
              <w:t xml:space="preserve"> </w:t>
            </w:r>
            <w:r>
              <w:t>c</w:t>
            </w:r>
            <w:r w:rsidRPr="009108C7">
              <w:t xml:space="preserve">oordinating to support individual clients. </w:t>
            </w:r>
          </w:p>
        </w:tc>
        <w:tc>
          <w:tcPr>
            <w:tcW w:w="4677" w:type="dxa"/>
            <w:shd w:val="clear" w:color="auto" w:fill="auto"/>
          </w:tcPr>
          <w:p w14:paraId="728AC7AA" w14:textId="4D9CB2FF" w:rsidR="00C009F9" w:rsidRDefault="00C009F9" w:rsidP="00C009F9"/>
        </w:tc>
      </w:tr>
      <w:tr w:rsidR="00C009F9" w14:paraId="2E9E81F1" w14:textId="77777777" w:rsidTr="00305A79">
        <w:tc>
          <w:tcPr>
            <w:tcW w:w="10060" w:type="dxa"/>
          </w:tcPr>
          <w:p w14:paraId="081AEE88" w14:textId="0B1CD5C6" w:rsidR="00C009F9" w:rsidRDefault="00C009F9">
            <w:pPr>
              <w:pStyle w:val="ListParagraph"/>
              <w:numPr>
                <w:ilvl w:val="0"/>
                <w:numId w:val="2"/>
              </w:numPr>
            </w:pPr>
            <w:r>
              <w:t>Provide e</w:t>
            </w:r>
            <w:r w:rsidRPr="009108C7">
              <w:t>ducation and training</w:t>
            </w:r>
            <w:r>
              <w:t xml:space="preserve"> </w:t>
            </w:r>
            <w:r w:rsidRPr="009108C7">
              <w:t>on the nutritional needs of vulnerable groups</w:t>
            </w:r>
            <w:r>
              <w:t xml:space="preserve"> to MDT and/or</w:t>
            </w:r>
            <w:r w:rsidRPr="009108C7">
              <w:t xml:space="preserve"> outside agencies </w:t>
            </w:r>
            <w:r>
              <w:t>e.g. G</w:t>
            </w:r>
            <w:r w:rsidRPr="009108C7">
              <w:t>Ps, alcohol and drug services, charities and voluntary organisations</w:t>
            </w:r>
          </w:p>
        </w:tc>
        <w:tc>
          <w:tcPr>
            <w:tcW w:w="4677" w:type="dxa"/>
            <w:shd w:val="clear" w:color="auto" w:fill="auto"/>
          </w:tcPr>
          <w:p w14:paraId="0C3D8185" w14:textId="77777777" w:rsidR="00C009F9" w:rsidRDefault="00C009F9" w:rsidP="00C009F9"/>
        </w:tc>
      </w:tr>
    </w:tbl>
    <w:p w14:paraId="38581ECA" w14:textId="3844C7AC" w:rsidR="0062799A" w:rsidRDefault="0062799A"/>
    <w:p w14:paraId="41ACDE23" w14:textId="58BC759A" w:rsidR="0062799A" w:rsidRDefault="0062799A">
      <w:pPr>
        <w:spacing w:after="200" w:line="276" w:lineRule="auto"/>
      </w:pPr>
    </w:p>
    <w:p w14:paraId="50F87860" w14:textId="672ED623" w:rsidR="00144AF6" w:rsidRDefault="00144AF6">
      <w:pPr>
        <w:spacing w:after="200" w:line="276" w:lineRule="auto"/>
      </w:pPr>
    </w:p>
    <w:p w14:paraId="0AD9DFB3" w14:textId="77777777" w:rsidR="00144AF6" w:rsidRDefault="00144AF6">
      <w:pPr>
        <w:spacing w:after="200" w:line="276" w:lineRule="auto"/>
      </w:pPr>
    </w:p>
    <w:p w14:paraId="15C54F08" w14:textId="32E63DA5" w:rsidR="00144AF6" w:rsidRDefault="00144AF6">
      <w:pPr>
        <w:spacing w:after="200" w:line="276" w:lineRule="auto"/>
      </w:pPr>
      <w:r>
        <w:br w:type="page"/>
      </w:r>
    </w:p>
    <w:p w14:paraId="73B60710" w14:textId="77777777" w:rsidR="00144AF6" w:rsidRPr="0038009F" w:rsidRDefault="00144AF6">
      <w:pPr>
        <w:pStyle w:val="Heading2"/>
        <w:numPr>
          <w:ilvl w:val="1"/>
          <w:numId w:val="19"/>
        </w:numPr>
      </w:pPr>
      <w:bookmarkStart w:id="11" w:name="_Toc125983084"/>
      <w:r w:rsidRPr="0038009F">
        <w:t>Key population groups</w:t>
      </w:r>
      <w:bookmarkEnd w:id="11"/>
    </w:p>
    <w:p w14:paraId="45D7C10D" w14:textId="77777777" w:rsidR="00144AF6" w:rsidRDefault="00144AF6"/>
    <w:tbl>
      <w:tblPr>
        <w:tblStyle w:val="TableGrid"/>
        <w:tblW w:w="14596" w:type="dxa"/>
        <w:tblLayout w:type="fixed"/>
        <w:tblLook w:val="04A0" w:firstRow="1" w:lastRow="0" w:firstColumn="1" w:lastColumn="0" w:noHBand="0" w:noVBand="1"/>
      </w:tblPr>
      <w:tblGrid>
        <w:gridCol w:w="10060"/>
        <w:gridCol w:w="4536"/>
      </w:tblGrid>
      <w:tr w:rsidR="005B00C1" w:rsidRPr="00FB4A10" w14:paraId="5973A80D" w14:textId="77777777" w:rsidTr="00424848">
        <w:trPr>
          <w:cantSplit/>
          <w:trHeight w:val="1050"/>
        </w:trPr>
        <w:tc>
          <w:tcPr>
            <w:tcW w:w="10060" w:type="dxa"/>
          </w:tcPr>
          <w:p w14:paraId="1A0B92F8" w14:textId="77777777" w:rsidR="005B00C1" w:rsidRDefault="005B00C1" w:rsidP="0060188B">
            <w:pPr>
              <w:rPr>
                <w:b/>
              </w:rPr>
            </w:pPr>
          </w:p>
          <w:p w14:paraId="1E054A31" w14:textId="574D414D" w:rsidR="005B00C1" w:rsidRPr="00144AF6" w:rsidRDefault="00144AF6" w:rsidP="00144AF6">
            <w:pPr>
              <w:rPr>
                <w:b/>
              </w:rPr>
            </w:pPr>
            <w:r>
              <w:t>KNOWLEDGE      Demonstrate good</w:t>
            </w:r>
            <w:r w:rsidRPr="0036044E">
              <w:t xml:space="preserve"> working and background knowledge </w:t>
            </w:r>
            <w:r>
              <w:t xml:space="preserve">(to appropriate level) </w:t>
            </w:r>
            <w:r w:rsidRPr="0036044E">
              <w:t>of:</w:t>
            </w:r>
            <w:r>
              <w:t xml:space="preserve"> </w:t>
            </w:r>
          </w:p>
        </w:tc>
        <w:tc>
          <w:tcPr>
            <w:tcW w:w="4536" w:type="dxa"/>
          </w:tcPr>
          <w:p w14:paraId="20D75D9B" w14:textId="2F9EDC4D" w:rsidR="005B00C1" w:rsidRPr="009108C7" w:rsidRDefault="005B00C1" w:rsidP="00F76D6C">
            <w:pPr>
              <w:jc w:val="both"/>
              <w:rPr>
                <w:b/>
              </w:rPr>
            </w:pPr>
          </w:p>
          <w:p w14:paraId="6780F63E" w14:textId="77777777" w:rsidR="005B00C1" w:rsidRPr="00FB4A10" w:rsidRDefault="005B00C1" w:rsidP="00EC723F">
            <w:pPr>
              <w:jc w:val="both"/>
              <w:rPr>
                <w:b/>
              </w:rPr>
            </w:pPr>
            <w:r w:rsidRPr="00FB4A10">
              <w:rPr>
                <w:b/>
              </w:rPr>
              <w:t>Evidence</w:t>
            </w:r>
          </w:p>
        </w:tc>
      </w:tr>
      <w:tr w:rsidR="005B00C1" w14:paraId="64F1565B" w14:textId="77777777" w:rsidTr="005B34BD">
        <w:trPr>
          <w:trHeight w:val="994"/>
        </w:trPr>
        <w:tc>
          <w:tcPr>
            <w:tcW w:w="10060" w:type="dxa"/>
            <w:shd w:val="clear" w:color="auto" w:fill="EEECE1" w:themeFill="background2"/>
          </w:tcPr>
          <w:p w14:paraId="2FD64B1D" w14:textId="77777777" w:rsidR="00424848" w:rsidRDefault="00424848" w:rsidP="003009B6">
            <w:pPr>
              <w:pStyle w:val="ListParagraph"/>
              <w:jc w:val="center"/>
              <w:rPr>
                <w:i/>
              </w:rPr>
            </w:pPr>
          </w:p>
          <w:p w14:paraId="4502DA68" w14:textId="25685D76" w:rsidR="005B00C1" w:rsidRPr="003009B6" w:rsidRDefault="005B00C1" w:rsidP="003009B6">
            <w:pPr>
              <w:pStyle w:val="ListParagraph"/>
              <w:jc w:val="center"/>
            </w:pPr>
            <w:r w:rsidRPr="003009B6">
              <w:rPr>
                <w:i/>
              </w:rPr>
              <w:t>African and Other Ethnic Minority Groups</w:t>
            </w:r>
          </w:p>
        </w:tc>
        <w:tc>
          <w:tcPr>
            <w:tcW w:w="4536" w:type="dxa"/>
            <w:shd w:val="clear" w:color="auto" w:fill="EEECE1" w:themeFill="background2"/>
          </w:tcPr>
          <w:p w14:paraId="6E1CE104" w14:textId="77777777" w:rsidR="005B00C1" w:rsidRDefault="005B00C1" w:rsidP="00EC723F"/>
        </w:tc>
      </w:tr>
      <w:tr w:rsidR="005B00C1" w14:paraId="299C7DEE" w14:textId="77777777" w:rsidTr="00F7020F">
        <w:tc>
          <w:tcPr>
            <w:tcW w:w="10060" w:type="dxa"/>
          </w:tcPr>
          <w:p w14:paraId="198ABD4C" w14:textId="5B57FE42" w:rsidR="005B00C1" w:rsidRPr="0060188B" w:rsidRDefault="005B00C1">
            <w:pPr>
              <w:pStyle w:val="ListParagraph"/>
              <w:numPr>
                <w:ilvl w:val="0"/>
                <w:numId w:val="3"/>
              </w:numPr>
              <w:rPr>
                <w:rFonts w:cs="Calibri"/>
                <w:sz w:val="20"/>
                <w:szCs w:val="20"/>
              </w:rPr>
            </w:pPr>
            <w:r>
              <w:t>Ethnic groups represented in respective HIV clinic and relevant dietary practices, cultural and religious beliefs</w:t>
            </w:r>
          </w:p>
        </w:tc>
        <w:tc>
          <w:tcPr>
            <w:tcW w:w="4536" w:type="dxa"/>
            <w:shd w:val="clear" w:color="auto" w:fill="auto"/>
          </w:tcPr>
          <w:p w14:paraId="4D6EAAD5" w14:textId="77777777" w:rsidR="005B00C1" w:rsidRDefault="005B00C1" w:rsidP="00EC723F"/>
        </w:tc>
      </w:tr>
      <w:tr w:rsidR="005B00C1" w:rsidRPr="00FB4A10" w14:paraId="4C8B5900" w14:textId="77777777" w:rsidTr="005B34BD">
        <w:trPr>
          <w:cantSplit/>
          <w:trHeight w:val="920"/>
        </w:trPr>
        <w:tc>
          <w:tcPr>
            <w:tcW w:w="10060" w:type="dxa"/>
            <w:shd w:val="clear" w:color="auto" w:fill="EEECE1" w:themeFill="background2"/>
          </w:tcPr>
          <w:p w14:paraId="7172029E" w14:textId="77777777" w:rsidR="005B00C1" w:rsidRPr="00EC6D6B" w:rsidRDefault="005B00C1" w:rsidP="00EC6D6B">
            <w:pPr>
              <w:pStyle w:val="ListParagraph"/>
              <w:jc w:val="center"/>
              <w:rPr>
                <w:i/>
              </w:rPr>
            </w:pPr>
          </w:p>
          <w:p w14:paraId="3DDB5039" w14:textId="5C85262F" w:rsidR="005B00C1" w:rsidRPr="00EC6D6B" w:rsidRDefault="005B00C1" w:rsidP="00EC6D6B">
            <w:pPr>
              <w:pStyle w:val="ListParagraph"/>
              <w:jc w:val="center"/>
              <w:rPr>
                <w:i/>
              </w:rPr>
            </w:pPr>
            <w:r w:rsidRPr="00EC6D6B">
              <w:rPr>
                <w:i/>
              </w:rPr>
              <w:t>Asylum Seekers, Refugees and victims of trafficking</w:t>
            </w:r>
          </w:p>
        </w:tc>
        <w:tc>
          <w:tcPr>
            <w:tcW w:w="4536" w:type="dxa"/>
            <w:shd w:val="clear" w:color="auto" w:fill="EEECE1" w:themeFill="background2"/>
            <w:textDirection w:val="btLr"/>
          </w:tcPr>
          <w:p w14:paraId="103B4323" w14:textId="77777777" w:rsidR="005B00C1" w:rsidRPr="00FB4A10" w:rsidRDefault="005B00C1" w:rsidP="00EC723F">
            <w:pPr>
              <w:jc w:val="both"/>
              <w:rPr>
                <w:b/>
              </w:rPr>
            </w:pPr>
          </w:p>
        </w:tc>
      </w:tr>
      <w:tr w:rsidR="005B00C1" w14:paraId="48EE87DA" w14:textId="77777777" w:rsidTr="00DA474D">
        <w:tc>
          <w:tcPr>
            <w:tcW w:w="10060" w:type="dxa"/>
          </w:tcPr>
          <w:p w14:paraId="18E23330" w14:textId="2946021D" w:rsidR="005B00C1" w:rsidRPr="0060188B" w:rsidRDefault="005B00C1">
            <w:pPr>
              <w:pStyle w:val="ListParagraph"/>
              <w:numPr>
                <w:ilvl w:val="0"/>
                <w:numId w:val="4"/>
              </w:numPr>
              <w:rPr>
                <w:rFonts w:cs="Calibri"/>
                <w:sz w:val="20"/>
                <w:szCs w:val="20"/>
              </w:rPr>
            </w:pPr>
            <w:r>
              <w:t xml:space="preserve">Different immigration statuses, the asylum system and entitlements for those claiming asylum, commonly used terminology </w:t>
            </w:r>
            <w:r w:rsidR="00D5182D">
              <w:t>e.g.,</w:t>
            </w:r>
            <w:r>
              <w:t xml:space="preserve"> refugee, asylum seeker, leave to remain</w:t>
            </w:r>
            <w:r w:rsidRPr="0060188B">
              <w:rPr>
                <w:rFonts w:ascii="Calibri" w:eastAsia="Times New Roman" w:hAnsi="Calibri" w:cs="Calibri"/>
                <w:sz w:val="20"/>
                <w:szCs w:val="20"/>
              </w:rPr>
              <w:t xml:space="preserve"> </w:t>
            </w:r>
            <w:r>
              <w:rPr>
                <w:rFonts w:ascii="Calibri" w:eastAsia="Times New Roman" w:hAnsi="Calibri" w:cs="Calibri"/>
                <w:sz w:val="20"/>
                <w:szCs w:val="20"/>
              </w:rPr>
              <w:t xml:space="preserve"> </w:t>
            </w:r>
          </w:p>
        </w:tc>
        <w:tc>
          <w:tcPr>
            <w:tcW w:w="4536" w:type="dxa"/>
            <w:shd w:val="clear" w:color="auto" w:fill="auto"/>
          </w:tcPr>
          <w:p w14:paraId="557A1E70" w14:textId="77777777" w:rsidR="005B00C1" w:rsidRDefault="005B00C1" w:rsidP="00EC723F"/>
        </w:tc>
      </w:tr>
      <w:tr w:rsidR="005B00C1" w14:paraId="251A236C" w14:textId="77777777" w:rsidTr="00DA474D">
        <w:tc>
          <w:tcPr>
            <w:tcW w:w="10060" w:type="dxa"/>
            <w:tcBorders>
              <w:bottom w:val="single" w:sz="4" w:space="0" w:color="auto"/>
            </w:tcBorders>
          </w:tcPr>
          <w:p w14:paraId="01DE95E2" w14:textId="3599EE2E" w:rsidR="005B00C1" w:rsidRPr="0060188B" w:rsidRDefault="005B00C1">
            <w:pPr>
              <w:pStyle w:val="ListParagraph"/>
              <w:numPr>
                <w:ilvl w:val="0"/>
                <w:numId w:val="4"/>
              </w:numPr>
              <w:rPr>
                <w:rFonts w:cs="Calibri"/>
                <w:sz w:val="20"/>
                <w:szCs w:val="20"/>
              </w:rPr>
            </w:pPr>
            <w:r>
              <w:t>Social, economic and psychological impact of being an asylum seeker/refugee or victim of trafficking and relevance to nutritional assessments and nutritional / lifestyle advice</w:t>
            </w:r>
          </w:p>
        </w:tc>
        <w:tc>
          <w:tcPr>
            <w:tcW w:w="4536" w:type="dxa"/>
            <w:tcBorders>
              <w:bottom w:val="single" w:sz="4" w:space="0" w:color="auto"/>
            </w:tcBorders>
            <w:shd w:val="clear" w:color="auto" w:fill="auto"/>
          </w:tcPr>
          <w:p w14:paraId="06E5487A" w14:textId="77777777" w:rsidR="005B00C1" w:rsidRDefault="005B00C1" w:rsidP="00EC723F"/>
        </w:tc>
      </w:tr>
      <w:tr w:rsidR="005B00C1" w14:paraId="04638B24" w14:textId="77777777" w:rsidTr="005B34BD">
        <w:trPr>
          <w:trHeight w:val="912"/>
        </w:trPr>
        <w:tc>
          <w:tcPr>
            <w:tcW w:w="10060" w:type="dxa"/>
            <w:shd w:val="clear" w:color="auto" w:fill="EEECE1" w:themeFill="background2"/>
          </w:tcPr>
          <w:p w14:paraId="76CDBB6D" w14:textId="77777777" w:rsidR="005B00C1" w:rsidRPr="00EC6D6B" w:rsidRDefault="005B00C1" w:rsidP="00EC6D6B">
            <w:pPr>
              <w:pStyle w:val="ListParagraph"/>
              <w:jc w:val="center"/>
              <w:rPr>
                <w:i/>
              </w:rPr>
            </w:pPr>
          </w:p>
          <w:p w14:paraId="4D9C3298" w14:textId="2C0681F3" w:rsidR="005B00C1" w:rsidRPr="00EC6D6B" w:rsidRDefault="005B00C1" w:rsidP="00EC6D6B">
            <w:pPr>
              <w:pStyle w:val="ListParagraph"/>
              <w:jc w:val="center"/>
              <w:rPr>
                <w:i/>
              </w:rPr>
            </w:pPr>
            <w:r w:rsidRPr="00EC6D6B">
              <w:rPr>
                <w:i/>
              </w:rPr>
              <w:t>People who use drugs or are alcohol dependent</w:t>
            </w:r>
          </w:p>
        </w:tc>
        <w:tc>
          <w:tcPr>
            <w:tcW w:w="4536" w:type="dxa"/>
            <w:shd w:val="clear" w:color="auto" w:fill="EEECE1" w:themeFill="background2"/>
          </w:tcPr>
          <w:p w14:paraId="6D5F844E" w14:textId="77777777" w:rsidR="005B00C1" w:rsidRDefault="005B00C1" w:rsidP="00EC723F"/>
        </w:tc>
      </w:tr>
      <w:tr w:rsidR="005B00C1" w14:paraId="58EFC876" w14:textId="77777777" w:rsidTr="00305A79">
        <w:tc>
          <w:tcPr>
            <w:tcW w:w="10060" w:type="dxa"/>
          </w:tcPr>
          <w:p w14:paraId="79DD9FA5" w14:textId="267B7B15" w:rsidR="005B00C1" w:rsidRPr="0060188B" w:rsidRDefault="005B00C1">
            <w:pPr>
              <w:pStyle w:val="ListParagraph"/>
              <w:numPr>
                <w:ilvl w:val="0"/>
                <w:numId w:val="5"/>
              </w:numPr>
              <w:rPr>
                <w:rFonts w:cs="Calibri"/>
                <w:sz w:val="20"/>
                <w:szCs w:val="20"/>
              </w:rPr>
            </w:pPr>
            <w:r>
              <w:t>The relevance of nature/ status of substance misuse in making nutritional assessments and tailoring dietary advice</w:t>
            </w:r>
          </w:p>
        </w:tc>
        <w:tc>
          <w:tcPr>
            <w:tcW w:w="4536" w:type="dxa"/>
            <w:shd w:val="clear" w:color="auto" w:fill="auto"/>
          </w:tcPr>
          <w:p w14:paraId="0D142583" w14:textId="77777777" w:rsidR="005B00C1" w:rsidRDefault="005B00C1" w:rsidP="00EC723F"/>
        </w:tc>
      </w:tr>
      <w:tr w:rsidR="005B00C1" w14:paraId="3BB75776" w14:textId="77777777" w:rsidTr="00305A79">
        <w:tc>
          <w:tcPr>
            <w:tcW w:w="10060" w:type="dxa"/>
          </w:tcPr>
          <w:p w14:paraId="01EA47B7" w14:textId="6FF0A3CC" w:rsidR="005B00C1" w:rsidRDefault="00987B8C">
            <w:pPr>
              <w:pStyle w:val="ListParagraph"/>
              <w:numPr>
                <w:ilvl w:val="0"/>
                <w:numId w:val="5"/>
              </w:numPr>
            </w:pPr>
            <w:r>
              <w:t>Side e</w:t>
            </w:r>
            <w:r w:rsidR="005B00C1">
              <w:t>ffects of recreational drugs</w:t>
            </w:r>
            <w:r>
              <w:t>/alcohol dependency</w:t>
            </w:r>
            <w:r w:rsidR="005B00C1">
              <w:t xml:space="preserve"> </w:t>
            </w:r>
            <w:r>
              <w:t xml:space="preserve">and impact </w:t>
            </w:r>
            <w:r w:rsidR="005B00C1">
              <w:t>on appetite, dietary intake</w:t>
            </w:r>
            <w:r>
              <w:t>,</w:t>
            </w:r>
            <w:r w:rsidR="0062799A">
              <w:t xml:space="preserve"> </w:t>
            </w:r>
            <w:r w:rsidR="005B00C1">
              <w:t>bowel habit</w:t>
            </w:r>
            <w:r>
              <w:t xml:space="preserve"> and nutritional status</w:t>
            </w:r>
          </w:p>
        </w:tc>
        <w:tc>
          <w:tcPr>
            <w:tcW w:w="4536" w:type="dxa"/>
            <w:shd w:val="clear" w:color="auto" w:fill="auto"/>
          </w:tcPr>
          <w:p w14:paraId="4009315B" w14:textId="77777777" w:rsidR="005B00C1" w:rsidRDefault="005B00C1" w:rsidP="00EC723F"/>
        </w:tc>
      </w:tr>
      <w:tr w:rsidR="005B00C1" w14:paraId="2ADC7A5B" w14:textId="77777777" w:rsidTr="00305A79">
        <w:tc>
          <w:tcPr>
            <w:tcW w:w="10060" w:type="dxa"/>
          </w:tcPr>
          <w:p w14:paraId="03A316D3" w14:textId="385B003B" w:rsidR="005B00C1" w:rsidRDefault="005B00C1">
            <w:pPr>
              <w:pStyle w:val="ListParagraph"/>
              <w:numPr>
                <w:ilvl w:val="0"/>
                <w:numId w:val="5"/>
              </w:numPr>
            </w:pPr>
            <w:r>
              <w:t xml:space="preserve">ARV and recreational drug interactions and influence </w:t>
            </w:r>
            <w:r w:rsidR="009544E8">
              <w:t xml:space="preserve">of substance misuse </w:t>
            </w:r>
            <w:r>
              <w:t>on</w:t>
            </w:r>
            <w:r w:rsidR="00987B8C">
              <w:t xml:space="preserve"> ARV</w:t>
            </w:r>
            <w:r>
              <w:t xml:space="preserve"> adherence</w:t>
            </w:r>
          </w:p>
        </w:tc>
        <w:tc>
          <w:tcPr>
            <w:tcW w:w="4536" w:type="dxa"/>
            <w:shd w:val="clear" w:color="auto" w:fill="auto"/>
          </w:tcPr>
          <w:p w14:paraId="1EEDFBAA" w14:textId="77777777" w:rsidR="005B00C1" w:rsidRDefault="005B00C1" w:rsidP="00EC723F"/>
        </w:tc>
      </w:tr>
      <w:tr w:rsidR="00390B71" w:rsidRPr="00FB4A10" w14:paraId="17667D8F" w14:textId="77777777" w:rsidTr="00F24532">
        <w:trPr>
          <w:cantSplit/>
          <w:trHeight w:val="629"/>
        </w:trPr>
        <w:tc>
          <w:tcPr>
            <w:tcW w:w="10060" w:type="dxa"/>
            <w:shd w:val="clear" w:color="auto" w:fill="EEECE1" w:themeFill="background2"/>
          </w:tcPr>
          <w:p w14:paraId="54CF70F8" w14:textId="77777777" w:rsidR="00390B71" w:rsidRPr="00EC6D6B" w:rsidRDefault="00390B71" w:rsidP="00EC6D6B">
            <w:pPr>
              <w:pStyle w:val="ListParagraph"/>
              <w:jc w:val="center"/>
              <w:rPr>
                <w:i/>
              </w:rPr>
            </w:pPr>
          </w:p>
          <w:p w14:paraId="352DCCA9" w14:textId="658E8B93" w:rsidR="00390B71" w:rsidRPr="00EC6D6B" w:rsidRDefault="00390B71" w:rsidP="00144AF6">
            <w:pPr>
              <w:pStyle w:val="ListParagraph"/>
              <w:jc w:val="center"/>
              <w:rPr>
                <w:i/>
              </w:rPr>
            </w:pPr>
            <w:r>
              <w:rPr>
                <w:i/>
              </w:rPr>
              <w:t xml:space="preserve">MSMs </w:t>
            </w:r>
            <w:r w:rsidR="006F28EC">
              <w:rPr>
                <w:i/>
              </w:rPr>
              <w:t>(</w:t>
            </w:r>
            <w:r>
              <w:rPr>
                <w:i/>
              </w:rPr>
              <w:t>Men who have s</w:t>
            </w:r>
            <w:r w:rsidRPr="002B6CBB">
              <w:rPr>
                <w:i/>
              </w:rPr>
              <w:t>ex with men</w:t>
            </w:r>
            <w:r w:rsidR="006F28EC">
              <w:rPr>
                <w:i/>
              </w:rPr>
              <w:t>)</w:t>
            </w:r>
          </w:p>
        </w:tc>
        <w:tc>
          <w:tcPr>
            <w:tcW w:w="4536" w:type="dxa"/>
            <w:shd w:val="clear" w:color="auto" w:fill="EEECE1" w:themeFill="background2"/>
            <w:textDirection w:val="btLr"/>
          </w:tcPr>
          <w:p w14:paraId="78134C64" w14:textId="77777777" w:rsidR="00390B71" w:rsidRPr="00FB4A10" w:rsidRDefault="00390B71" w:rsidP="00EC723F">
            <w:pPr>
              <w:jc w:val="both"/>
              <w:rPr>
                <w:b/>
              </w:rPr>
            </w:pPr>
          </w:p>
        </w:tc>
      </w:tr>
      <w:tr w:rsidR="00390B71" w14:paraId="67763C66" w14:textId="77777777" w:rsidTr="00424848">
        <w:trPr>
          <w:trHeight w:val="555"/>
        </w:trPr>
        <w:tc>
          <w:tcPr>
            <w:tcW w:w="10060" w:type="dxa"/>
          </w:tcPr>
          <w:p w14:paraId="51EB99B6" w14:textId="00ADF6CD" w:rsidR="00390B71" w:rsidRPr="00EC6D6B" w:rsidRDefault="004D51A5">
            <w:pPr>
              <w:pStyle w:val="ListParagraph"/>
              <w:numPr>
                <w:ilvl w:val="0"/>
                <w:numId w:val="6"/>
              </w:numPr>
            </w:pPr>
            <w:r>
              <w:t>The d</w:t>
            </w:r>
            <w:r w:rsidR="00390B71">
              <w:t>iversity of the population of MSM and how they may identify themselves</w:t>
            </w:r>
          </w:p>
        </w:tc>
        <w:tc>
          <w:tcPr>
            <w:tcW w:w="4536" w:type="dxa"/>
            <w:shd w:val="clear" w:color="auto" w:fill="auto"/>
          </w:tcPr>
          <w:p w14:paraId="22A678D5" w14:textId="77777777" w:rsidR="00390B71" w:rsidRDefault="00390B71" w:rsidP="00EC723F"/>
        </w:tc>
      </w:tr>
      <w:tr w:rsidR="00390B71" w14:paraId="0B30DF17" w14:textId="77777777" w:rsidTr="00305A79">
        <w:tc>
          <w:tcPr>
            <w:tcW w:w="10060" w:type="dxa"/>
          </w:tcPr>
          <w:p w14:paraId="3DF7F7A9" w14:textId="74338CF5" w:rsidR="00390B71" w:rsidRPr="00EC6D6B" w:rsidRDefault="00390B71">
            <w:pPr>
              <w:pStyle w:val="ListParagraph"/>
              <w:numPr>
                <w:ilvl w:val="0"/>
                <w:numId w:val="6"/>
              </w:numPr>
              <w:rPr>
                <w:rFonts w:cs="Calibri"/>
                <w:sz w:val="20"/>
                <w:szCs w:val="20"/>
              </w:rPr>
            </w:pPr>
            <w:r>
              <w:t>Aspects of behaviour associated with “gay culture” including chemsex, and how these may impact on ARV adherence, dietary habits and nutritional status</w:t>
            </w:r>
          </w:p>
        </w:tc>
        <w:tc>
          <w:tcPr>
            <w:tcW w:w="4536" w:type="dxa"/>
            <w:shd w:val="clear" w:color="auto" w:fill="auto"/>
          </w:tcPr>
          <w:p w14:paraId="4743B2D8" w14:textId="77777777" w:rsidR="00390B71" w:rsidRDefault="00390B71" w:rsidP="00EC723F"/>
        </w:tc>
      </w:tr>
      <w:tr w:rsidR="00390B71" w14:paraId="777595B6" w14:textId="77777777" w:rsidTr="00305A79">
        <w:tc>
          <w:tcPr>
            <w:tcW w:w="10060" w:type="dxa"/>
          </w:tcPr>
          <w:p w14:paraId="6CEB27EE" w14:textId="77CF0F2F" w:rsidR="00390B71" w:rsidRPr="00EC6D6B" w:rsidRDefault="00987B8C">
            <w:pPr>
              <w:pStyle w:val="ListParagraph"/>
              <w:numPr>
                <w:ilvl w:val="0"/>
                <w:numId w:val="6"/>
              </w:numPr>
            </w:pPr>
            <w:r>
              <w:t>Issue of b</w:t>
            </w:r>
            <w:r w:rsidR="00390B71">
              <w:t xml:space="preserve">ody </w:t>
            </w:r>
            <w:r>
              <w:t xml:space="preserve">dysmorphia </w:t>
            </w:r>
            <w:r w:rsidR="00390B71">
              <w:t xml:space="preserve">amongst some MSMs  </w:t>
            </w:r>
          </w:p>
        </w:tc>
        <w:tc>
          <w:tcPr>
            <w:tcW w:w="4536" w:type="dxa"/>
            <w:shd w:val="clear" w:color="auto" w:fill="auto"/>
          </w:tcPr>
          <w:p w14:paraId="5CA66B77" w14:textId="77777777" w:rsidR="00390B71" w:rsidRDefault="00390B71" w:rsidP="00EC723F"/>
        </w:tc>
      </w:tr>
      <w:tr w:rsidR="00390B71" w14:paraId="474C2068" w14:textId="77777777" w:rsidTr="00171D85">
        <w:tc>
          <w:tcPr>
            <w:tcW w:w="10060" w:type="dxa"/>
          </w:tcPr>
          <w:p w14:paraId="74FD4D04" w14:textId="1053F95B" w:rsidR="00390B71" w:rsidRDefault="00390B71">
            <w:pPr>
              <w:pStyle w:val="ListParagraph"/>
              <w:numPr>
                <w:ilvl w:val="0"/>
                <w:numId w:val="6"/>
              </w:numPr>
            </w:pPr>
            <w:r>
              <w:t>Sports nutrition</w:t>
            </w:r>
            <w:r w:rsidR="00987B8C">
              <w:t xml:space="preserve"> and supplements</w:t>
            </w:r>
            <w:r>
              <w:t xml:space="preserve"> </w:t>
            </w:r>
            <w:r w:rsidR="00987B8C">
              <w:t xml:space="preserve">and </w:t>
            </w:r>
            <w:r>
              <w:t>implications of steroid use</w:t>
            </w:r>
          </w:p>
        </w:tc>
        <w:tc>
          <w:tcPr>
            <w:tcW w:w="4536" w:type="dxa"/>
            <w:shd w:val="clear" w:color="auto" w:fill="auto"/>
          </w:tcPr>
          <w:p w14:paraId="0EA767F7" w14:textId="77777777" w:rsidR="00390B71" w:rsidRDefault="00390B71" w:rsidP="00EC723F"/>
        </w:tc>
      </w:tr>
      <w:tr w:rsidR="00F76D6C" w14:paraId="3FC52099" w14:textId="77777777" w:rsidTr="00F24532">
        <w:trPr>
          <w:trHeight w:val="601"/>
        </w:trPr>
        <w:tc>
          <w:tcPr>
            <w:tcW w:w="10060" w:type="dxa"/>
            <w:shd w:val="clear" w:color="auto" w:fill="EEECE1" w:themeFill="background2"/>
          </w:tcPr>
          <w:p w14:paraId="63C65EA4" w14:textId="77777777" w:rsidR="00424848" w:rsidRDefault="00424848" w:rsidP="00EC6D6B">
            <w:pPr>
              <w:pStyle w:val="ListParagraph"/>
              <w:jc w:val="center"/>
              <w:rPr>
                <w:i/>
              </w:rPr>
            </w:pPr>
          </w:p>
          <w:p w14:paraId="4E842007" w14:textId="1FA3A38F" w:rsidR="00F76D6C" w:rsidRPr="00EC6D6B" w:rsidRDefault="00F76D6C" w:rsidP="00EC6D6B">
            <w:pPr>
              <w:pStyle w:val="ListParagraph"/>
              <w:jc w:val="center"/>
              <w:rPr>
                <w:i/>
              </w:rPr>
            </w:pPr>
            <w:r>
              <w:rPr>
                <w:i/>
              </w:rPr>
              <w:t>Older Adults</w:t>
            </w:r>
          </w:p>
        </w:tc>
        <w:tc>
          <w:tcPr>
            <w:tcW w:w="4536" w:type="dxa"/>
            <w:shd w:val="clear" w:color="auto" w:fill="EEECE1" w:themeFill="background2"/>
            <w:textDirection w:val="btLr"/>
          </w:tcPr>
          <w:p w14:paraId="75A46BB6" w14:textId="77777777" w:rsidR="00F76D6C" w:rsidRPr="00FB4A10" w:rsidRDefault="00F76D6C" w:rsidP="00EC6D6B">
            <w:pPr>
              <w:jc w:val="both"/>
              <w:rPr>
                <w:b/>
              </w:rPr>
            </w:pPr>
          </w:p>
        </w:tc>
      </w:tr>
      <w:tr w:rsidR="00F76D6C" w14:paraId="3DC4FCFA" w14:textId="77777777" w:rsidTr="00305A79">
        <w:tc>
          <w:tcPr>
            <w:tcW w:w="10060" w:type="dxa"/>
          </w:tcPr>
          <w:p w14:paraId="0880749D" w14:textId="77777777" w:rsidR="00F76D6C" w:rsidRPr="00EC6D6B" w:rsidRDefault="00F76D6C">
            <w:pPr>
              <w:pStyle w:val="ListParagraph"/>
              <w:numPr>
                <w:ilvl w:val="0"/>
                <w:numId w:val="7"/>
              </w:numPr>
            </w:pPr>
            <w:r>
              <w:t>Social and economic impacts of aging in PLHIV</w:t>
            </w:r>
          </w:p>
        </w:tc>
        <w:tc>
          <w:tcPr>
            <w:tcW w:w="4536" w:type="dxa"/>
            <w:shd w:val="clear" w:color="auto" w:fill="FFFFFF" w:themeFill="background1"/>
          </w:tcPr>
          <w:p w14:paraId="05E50387" w14:textId="77777777" w:rsidR="00F76D6C" w:rsidRDefault="00F76D6C" w:rsidP="00EC6D6B"/>
        </w:tc>
      </w:tr>
      <w:tr w:rsidR="00171D85" w14:paraId="2113984F" w14:textId="77777777" w:rsidTr="00F76D6C">
        <w:tc>
          <w:tcPr>
            <w:tcW w:w="10060" w:type="dxa"/>
          </w:tcPr>
          <w:p w14:paraId="7B73E9F2" w14:textId="59F82182" w:rsidR="00171D85" w:rsidRDefault="003B6B8F">
            <w:pPr>
              <w:pStyle w:val="ListParagraph"/>
              <w:numPr>
                <w:ilvl w:val="0"/>
                <w:numId w:val="7"/>
              </w:numPr>
            </w:pPr>
            <w:r>
              <w:t>Potential for</w:t>
            </w:r>
            <w:r w:rsidR="00171D85">
              <w:t xml:space="preserve"> wide-ranging multimorbidity</w:t>
            </w:r>
            <w:r w:rsidR="00854BBA">
              <w:t xml:space="preserve"> and frailty</w:t>
            </w:r>
            <w:r w:rsidR="00854BBA">
              <w:rPr>
                <w:vertAlign w:val="superscript"/>
              </w:rPr>
              <w:t>(9)</w:t>
            </w:r>
            <w:r w:rsidR="00171D85">
              <w:t xml:space="preserve"> in </w:t>
            </w:r>
            <w:r w:rsidR="00B76D82">
              <w:t xml:space="preserve">older adults </w:t>
            </w:r>
            <w:r w:rsidR="00987B8C">
              <w:t xml:space="preserve">living </w:t>
            </w:r>
            <w:r w:rsidR="00B76D82">
              <w:t xml:space="preserve">with HIV </w:t>
            </w:r>
            <w:r>
              <w:t>(</w:t>
            </w:r>
            <w:r w:rsidR="00171D85">
              <w:t>bone</w:t>
            </w:r>
            <w:r>
              <w:t>-related disorders</w:t>
            </w:r>
            <w:r w:rsidR="00171D85">
              <w:t>, chronic kidney disease, dementia, dyslipidaemia, cardiovascular disease, pulmonary disease, cancer and ch</w:t>
            </w:r>
            <w:r>
              <w:t xml:space="preserve">ronic nervous system conditions) and implications for nutritional management </w:t>
            </w:r>
          </w:p>
        </w:tc>
        <w:tc>
          <w:tcPr>
            <w:tcW w:w="4536" w:type="dxa"/>
            <w:shd w:val="clear" w:color="auto" w:fill="FFFFFF" w:themeFill="background1"/>
          </w:tcPr>
          <w:p w14:paraId="28E2D50A" w14:textId="77777777" w:rsidR="00171D85" w:rsidRDefault="00171D85" w:rsidP="00EC6D6B"/>
        </w:tc>
      </w:tr>
      <w:tr w:rsidR="00F76D6C" w14:paraId="5A52AB15" w14:textId="77777777" w:rsidTr="00305A79">
        <w:tc>
          <w:tcPr>
            <w:tcW w:w="10060" w:type="dxa"/>
          </w:tcPr>
          <w:p w14:paraId="4929DFBB" w14:textId="6943A06D" w:rsidR="00F76D6C" w:rsidRPr="00EC6D6B" w:rsidRDefault="00F76D6C">
            <w:pPr>
              <w:pStyle w:val="ListParagraph"/>
              <w:numPr>
                <w:ilvl w:val="0"/>
                <w:numId w:val="7"/>
              </w:numPr>
              <w:rPr>
                <w:rFonts w:cs="Calibri"/>
                <w:sz w:val="20"/>
                <w:szCs w:val="20"/>
              </w:rPr>
            </w:pPr>
            <w:r>
              <w:t>Impact of physical</w:t>
            </w:r>
            <w:r w:rsidR="00D96EAF">
              <w:t xml:space="preserve"> </w:t>
            </w:r>
            <w:r>
              <w:t>and psychological effects of aging on nutritional needs and relevance for tailoring dietary advice</w:t>
            </w:r>
          </w:p>
        </w:tc>
        <w:tc>
          <w:tcPr>
            <w:tcW w:w="4536" w:type="dxa"/>
            <w:shd w:val="clear" w:color="auto" w:fill="FFFFFF" w:themeFill="background1"/>
          </w:tcPr>
          <w:p w14:paraId="536810A0" w14:textId="77777777" w:rsidR="00F76D6C" w:rsidRDefault="00F76D6C" w:rsidP="00EC6D6B"/>
        </w:tc>
      </w:tr>
      <w:tr w:rsidR="00F76D6C" w14:paraId="5597455F" w14:textId="77777777" w:rsidTr="005B34BD">
        <w:trPr>
          <w:trHeight w:val="659"/>
        </w:trPr>
        <w:tc>
          <w:tcPr>
            <w:tcW w:w="10060" w:type="dxa"/>
            <w:shd w:val="clear" w:color="auto" w:fill="EEECE1" w:themeFill="background2"/>
          </w:tcPr>
          <w:p w14:paraId="724F37AC" w14:textId="343EEF26" w:rsidR="00F76D6C" w:rsidRDefault="00F76D6C" w:rsidP="00D22AF4">
            <w:pPr>
              <w:jc w:val="center"/>
            </w:pPr>
            <w:r w:rsidRPr="00D22AF4">
              <w:rPr>
                <w:i/>
                <w:iCs/>
              </w:rPr>
              <w:t>Children and Adolescents/ transition clinics</w:t>
            </w:r>
          </w:p>
        </w:tc>
        <w:tc>
          <w:tcPr>
            <w:tcW w:w="4536" w:type="dxa"/>
            <w:shd w:val="clear" w:color="auto" w:fill="EEECE1" w:themeFill="background2"/>
          </w:tcPr>
          <w:p w14:paraId="7B21AA82" w14:textId="77777777" w:rsidR="00F76D6C" w:rsidRDefault="00F76D6C" w:rsidP="00EC6D6B"/>
        </w:tc>
      </w:tr>
      <w:tr w:rsidR="00F76D6C" w14:paraId="26D48AAA" w14:textId="77777777" w:rsidTr="00C03BB7">
        <w:tc>
          <w:tcPr>
            <w:tcW w:w="10060" w:type="dxa"/>
          </w:tcPr>
          <w:p w14:paraId="4D280839" w14:textId="5E05FA67" w:rsidR="00F76D6C" w:rsidRDefault="00F76D6C">
            <w:pPr>
              <w:pStyle w:val="ListParagraph"/>
              <w:numPr>
                <w:ilvl w:val="0"/>
                <w:numId w:val="7"/>
              </w:numPr>
            </w:pPr>
            <w:r>
              <w:t xml:space="preserve">Nutrition and food requirements in children </w:t>
            </w:r>
            <w:r w:rsidR="00CA1DE1">
              <w:t xml:space="preserve">and adolescents </w:t>
            </w:r>
            <w:r>
              <w:t>with HIV</w:t>
            </w:r>
            <w:r w:rsidR="00B76D82">
              <w:t xml:space="preserve"> according to age</w:t>
            </w:r>
          </w:p>
        </w:tc>
        <w:tc>
          <w:tcPr>
            <w:tcW w:w="4536" w:type="dxa"/>
            <w:shd w:val="clear" w:color="auto" w:fill="auto"/>
          </w:tcPr>
          <w:p w14:paraId="34867F75" w14:textId="77777777" w:rsidR="00F76D6C" w:rsidRDefault="00F76D6C" w:rsidP="00EC6D6B"/>
        </w:tc>
      </w:tr>
      <w:tr w:rsidR="00F76D6C" w14:paraId="0A255F8B" w14:textId="77777777" w:rsidTr="00C03BB7">
        <w:tc>
          <w:tcPr>
            <w:tcW w:w="10060" w:type="dxa"/>
          </w:tcPr>
          <w:p w14:paraId="6FDF836E" w14:textId="53354BA1" w:rsidR="00F76D6C" w:rsidRDefault="00F76D6C">
            <w:pPr>
              <w:pStyle w:val="ListParagraph"/>
              <w:numPr>
                <w:ilvl w:val="0"/>
                <w:numId w:val="7"/>
              </w:numPr>
            </w:pPr>
            <w:r>
              <w:t>Growth monitoring and anthropometrics in children and adolescents</w:t>
            </w:r>
          </w:p>
        </w:tc>
        <w:tc>
          <w:tcPr>
            <w:tcW w:w="4536" w:type="dxa"/>
            <w:shd w:val="clear" w:color="auto" w:fill="auto"/>
          </w:tcPr>
          <w:p w14:paraId="3D97F882" w14:textId="77777777" w:rsidR="00F76D6C" w:rsidRDefault="00F76D6C" w:rsidP="00EC6D6B"/>
        </w:tc>
      </w:tr>
      <w:tr w:rsidR="00F76D6C" w14:paraId="14FDA48C" w14:textId="77777777" w:rsidTr="00C03BB7">
        <w:tc>
          <w:tcPr>
            <w:tcW w:w="10060" w:type="dxa"/>
          </w:tcPr>
          <w:p w14:paraId="4801C8C5" w14:textId="2A47394F" w:rsidR="00F76D6C" w:rsidRDefault="00F76D6C">
            <w:pPr>
              <w:pStyle w:val="ListParagraph"/>
              <w:numPr>
                <w:ilvl w:val="0"/>
                <w:numId w:val="7"/>
              </w:numPr>
            </w:pPr>
            <w:r>
              <w:t xml:space="preserve">Prevention/ treatment of </w:t>
            </w:r>
            <w:r w:rsidR="004D011B">
              <w:t>low</w:t>
            </w:r>
            <w:r>
              <w:t xml:space="preserve"> bone mineral density </w:t>
            </w:r>
            <w:r w:rsidR="004D1FAF">
              <w:t>and l</w:t>
            </w:r>
            <w:r w:rsidR="00315D2A">
              <w:t>ipid abnormalities</w:t>
            </w:r>
            <w:r w:rsidR="00E06F2D">
              <w:rPr>
                <w:vertAlign w:val="superscript"/>
              </w:rPr>
              <w:t>(10</w:t>
            </w:r>
            <w:r w:rsidR="00FA151F" w:rsidRPr="00FA151F">
              <w:rPr>
                <w:vertAlign w:val="superscript"/>
              </w:rPr>
              <w:t>)</w:t>
            </w:r>
            <w:r w:rsidR="00CA1DE1">
              <w:t xml:space="preserve"> in childre</w:t>
            </w:r>
            <w:r w:rsidR="002F4940">
              <w:t xml:space="preserve">n/ </w:t>
            </w:r>
            <w:r w:rsidR="00CA1DE1">
              <w:t>adolescents</w:t>
            </w:r>
          </w:p>
        </w:tc>
        <w:tc>
          <w:tcPr>
            <w:tcW w:w="4536" w:type="dxa"/>
            <w:shd w:val="clear" w:color="auto" w:fill="auto"/>
          </w:tcPr>
          <w:p w14:paraId="2CF6D95E" w14:textId="77777777" w:rsidR="00F76D6C" w:rsidRDefault="00F76D6C" w:rsidP="00EC6D6B"/>
        </w:tc>
      </w:tr>
      <w:tr w:rsidR="00F76D6C" w14:paraId="1F944F9C" w14:textId="77777777" w:rsidTr="00C03BB7">
        <w:tc>
          <w:tcPr>
            <w:tcW w:w="10060" w:type="dxa"/>
          </w:tcPr>
          <w:p w14:paraId="401AEAFC" w14:textId="24611570" w:rsidR="00F76D6C" w:rsidRDefault="004D51A5">
            <w:pPr>
              <w:pStyle w:val="ListParagraph"/>
              <w:numPr>
                <w:ilvl w:val="0"/>
                <w:numId w:val="7"/>
              </w:numPr>
            </w:pPr>
            <w:r>
              <w:t>Social and psychological impacts of being a young person living with HIV</w:t>
            </w:r>
            <w:r w:rsidR="003B6B8F">
              <w:t xml:space="preserve"> and implications for nutritional/lifestyle interventions</w:t>
            </w:r>
          </w:p>
        </w:tc>
        <w:tc>
          <w:tcPr>
            <w:tcW w:w="4536" w:type="dxa"/>
            <w:shd w:val="clear" w:color="auto" w:fill="auto"/>
          </w:tcPr>
          <w:p w14:paraId="5FC4E50F" w14:textId="77777777" w:rsidR="00F76D6C" w:rsidRDefault="00F76D6C" w:rsidP="00EC6D6B"/>
        </w:tc>
      </w:tr>
    </w:tbl>
    <w:p w14:paraId="207D1534" w14:textId="5AA43249" w:rsidR="00585714" w:rsidRDefault="00A31DB5">
      <w:pPr>
        <w:pStyle w:val="Heading2"/>
        <w:numPr>
          <w:ilvl w:val="1"/>
          <w:numId w:val="19"/>
        </w:numPr>
      </w:pPr>
      <w:bookmarkStart w:id="12" w:name="_Toc125972078"/>
      <w:bookmarkStart w:id="13" w:name="_Toc125983085"/>
      <w:bookmarkEnd w:id="12"/>
      <w:r>
        <w:t>Comorbidities</w:t>
      </w:r>
      <w:bookmarkEnd w:id="13"/>
    </w:p>
    <w:p w14:paraId="682A0F68" w14:textId="77777777" w:rsidR="00585714" w:rsidRPr="00585714" w:rsidRDefault="00585714" w:rsidP="00585714"/>
    <w:p w14:paraId="6B284D24" w14:textId="14411987" w:rsidR="00E74CE2" w:rsidRPr="00585714" w:rsidRDefault="00E74CE2">
      <w:pPr>
        <w:pStyle w:val="Heading3"/>
        <w:numPr>
          <w:ilvl w:val="2"/>
          <w:numId w:val="19"/>
        </w:numPr>
        <w:rPr>
          <w:rStyle w:val="IntenseEmphasis"/>
          <w:i w:val="0"/>
          <w:iCs w:val="0"/>
          <w:color w:val="365F91" w:themeColor="accent1" w:themeShade="BF"/>
        </w:rPr>
      </w:pPr>
      <w:bookmarkStart w:id="14" w:name="_Toc125983086"/>
      <w:r w:rsidRPr="003456CC">
        <w:rPr>
          <w:rStyle w:val="IntenseEmphasis"/>
        </w:rPr>
        <w:t>Obesity</w:t>
      </w:r>
      <w:bookmarkEnd w:id="14"/>
    </w:p>
    <w:p w14:paraId="4DD467D5" w14:textId="77777777" w:rsidR="00482975" w:rsidRPr="00482975" w:rsidRDefault="00482975" w:rsidP="00482975"/>
    <w:tbl>
      <w:tblPr>
        <w:tblStyle w:val="TableGrid"/>
        <w:tblW w:w="14737" w:type="dxa"/>
        <w:tblLayout w:type="fixed"/>
        <w:tblLook w:val="04A0" w:firstRow="1" w:lastRow="0" w:firstColumn="1" w:lastColumn="0" w:noHBand="0" w:noVBand="1"/>
      </w:tblPr>
      <w:tblGrid>
        <w:gridCol w:w="10060"/>
        <w:gridCol w:w="4677"/>
      </w:tblGrid>
      <w:tr w:rsidR="00144AF6" w14:paraId="09CE6597" w14:textId="77777777" w:rsidTr="006E07FB">
        <w:trPr>
          <w:cantSplit/>
          <w:trHeight w:val="1245"/>
        </w:trPr>
        <w:tc>
          <w:tcPr>
            <w:tcW w:w="10060" w:type="dxa"/>
            <w:shd w:val="clear" w:color="auto" w:fill="F2F2F2" w:themeFill="background1" w:themeFillShade="F2"/>
          </w:tcPr>
          <w:p w14:paraId="6701F335" w14:textId="77777777" w:rsidR="00144AF6" w:rsidRDefault="00144AF6" w:rsidP="00144AF6">
            <w:pPr>
              <w:rPr>
                <w:b/>
              </w:rPr>
            </w:pPr>
          </w:p>
          <w:p w14:paraId="6AB4918E" w14:textId="50DC1B16" w:rsidR="00144AF6" w:rsidRPr="00F05B27" w:rsidRDefault="00144AF6" w:rsidP="00F05B27">
            <w:pPr>
              <w:rPr>
                <w:i/>
              </w:rPr>
            </w:pPr>
            <w:r>
              <w:t>KNOWLEDGE      Demonstrate good</w:t>
            </w:r>
            <w:r w:rsidRPr="0036044E">
              <w:t xml:space="preserve"> working and background knowledge </w:t>
            </w:r>
            <w:r>
              <w:t xml:space="preserve">(to appropriate level) </w:t>
            </w:r>
            <w:r w:rsidRPr="0036044E">
              <w:t>of:</w:t>
            </w:r>
            <w:r>
              <w:t xml:space="preserve"> </w:t>
            </w:r>
          </w:p>
        </w:tc>
        <w:tc>
          <w:tcPr>
            <w:tcW w:w="4677" w:type="dxa"/>
            <w:shd w:val="clear" w:color="auto" w:fill="F2F2F2" w:themeFill="background1" w:themeFillShade="F2"/>
          </w:tcPr>
          <w:p w14:paraId="57167C5E" w14:textId="1E84BE6A" w:rsidR="00144AF6" w:rsidRPr="009108C7" w:rsidRDefault="00144AF6" w:rsidP="00144AF6">
            <w:pPr>
              <w:jc w:val="both"/>
              <w:rPr>
                <w:b/>
              </w:rPr>
            </w:pPr>
          </w:p>
          <w:p w14:paraId="4C0F80D6" w14:textId="77777777" w:rsidR="00144AF6" w:rsidRDefault="00144AF6" w:rsidP="00144AF6">
            <w:r w:rsidRPr="000045EA">
              <w:rPr>
                <w:b/>
              </w:rPr>
              <w:t xml:space="preserve">Evidence </w:t>
            </w:r>
          </w:p>
        </w:tc>
      </w:tr>
      <w:tr w:rsidR="009D07CE" w14:paraId="6531B26C" w14:textId="77777777" w:rsidTr="00B76D82">
        <w:tc>
          <w:tcPr>
            <w:tcW w:w="10060" w:type="dxa"/>
          </w:tcPr>
          <w:p w14:paraId="545B0131" w14:textId="04A6636B" w:rsidR="009D07CE" w:rsidRPr="00682191" w:rsidRDefault="00F660C7">
            <w:pPr>
              <w:pStyle w:val="ListParagraph"/>
              <w:numPr>
                <w:ilvl w:val="0"/>
                <w:numId w:val="8"/>
              </w:numPr>
              <w:rPr>
                <w:rFonts w:cs="Calibri"/>
              </w:rPr>
            </w:pPr>
            <w:r>
              <w:rPr>
                <w:rFonts w:cs="Calibri"/>
              </w:rPr>
              <w:t xml:space="preserve">The </w:t>
            </w:r>
            <w:r w:rsidR="004E7AC7">
              <w:rPr>
                <w:rFonts w:cs="Calibri"/>
              </w:rPr>
              <w:t>relationship</w:t>
            </w:r>
            <w:r>
              <w:rPr>
                <w:rFonts w:cs="Calibri"/>
              </w:rPr>
              <w:t xml:space="preserve"> between ARV and weight gain </w:t>
            </w:r>
            <w:r w:rsidR="004E7AC7">
              <w:rPr>
                <w:rFonts w:cs="Calibri"/>
              </w:rPr>
              <w:t>including the ‘return to health effect’</w:t>
            </w:r>
            <w:r w:rsidR="003B6B8F">
              <w:rPr>
                <w:rFonts w:cs="Calibri"/>
              </w:rPr>
              <w:t>,</w:t>
            </w:r>
            <w:r>
              <w:rPr>
                <w:rFonts w:cs="Calibri"/>
              </w:rPr>
              <w:t xml:space="preserve"> and </w:t>
            </w:r>
            <w:r w:rsidR="003B6B8F">
              <w:rPr>
                <w:rFonts w:cs="Calibri"/>
              </w:rPr>
              <w:t>the</w:t>
            </w:r>
            <w:r>
              <w:rPr>
                <w:rFonts w:cs="Calibri"/>
              </w:rPr>
              <w:t xml:space="preserve"> c</w:t>
            </w:r>
            <w:r w:rsidR="009D07CE" w:rsidRPr="00682191">
              <w:rPr>
                <w:rFonts w:cs="Calibri"/>
              </w:rPr>
              <w:t>lasses and combinations of ARVs</w:t>
            </w:r>
            <w:r w:rsidR="003456CC">
              <w:rPr>
                <w:rFonts w:cs="Calibri"/>
              </w:rPr>
              <w:t xml:space="preserve"> </w:t>
            </w:r>
            <w:r w:rsidR="004E7AC7">
              <w:rPr>
                <w:rFonts w:cs="Calibri"/>
              </w:rPr>
              <w:t>associated with weight gain in</w:t>
            </w:r>
            <w:r>
              <w:rPr>
                <w:rFonts w:cs="Calibri"/>
              </w:rPr>
              <w:t xml:space="preserve"> </w:t>
            </w:r>
            <w:r w:rsidR="004D51A5">
              <w:rPr>
                <w:rFonts w:cs="Calibri"/>
              </w:rPr>
              <w:t>certain groups of PLHIV</w:t>
            </w:r>
            <w:r w:rsidR="00E06F2D">
              <w:rPr>
                <w:rFonts w:cs="Calibri"/>
                <w:vertAlign w:val="superscript"/>
              </w:rPr>
              <w:t>(9, 11</w:t>
            </w:r>
            <w:r w:rsidR="00946E50">
              <w:rPr>
                <w:rFonts w:cs="Calibri"/>
                <w:vertAlign w:val="superscript"/>
              </w:rPr>
              <w:t>)</w:t>
            </w:r>
          </w:p>
        </w:tc>
        <w:tc>
          <w:tcPr>
            <w:tcW w:w="4677" w:type="dxa"/>
            <w:shd w:val="clear" w:color="auto" w:fill="auto"/>
          </w:tcPr>
          <w:p w14:paraId="5A074D6A" w14:textId="77777777" w:rsidR="009D07CE" w:rsidRDefault="009D07CE" w:rsidP="00EC723F"/>
        </w:tc>
      </w:tr>
      <w:tr w:rsidR="009D07CE" w14:paraId="7A404F5D" w14:textId="77777777" w:rsidTr="00B76D82">
        <w:tc>
          <w:tcPr>
            <w:tcW w:w="10060" w:type="dxa"/>
            <w:shd w:val="clear" w:color="auto" w:fill="FFFFFF" w:themeFill="background1"/>
          </w:tcPr>
          <w:p w14:paraId="0E61512D" w14:textId="5DB49F2D" w:rsidR="009D07CE" w:rsidRPr="00682191" w:rsidRDefault="004E7AC7">
            <w:pPr>
              <w:pStyle w:val="ListParagraph"/>
              <w:numPr>
                <w:ilvl w:val="0"/>
                <w:numId w:val="8"/>
              </w:numPr>
              <w:rPr>
                <w:rFonts w:cs="Calibri"/>
              </w:rPr>
            </w:pPr>
            <w:r>
              <w:rPr>
                <w:rFonts w:cs="Calibri"/>
              </w:rPr>
              <w:t>The increased risk of weight gain in PLHIV due to</w:t>
            </w:r>
            <w:r w:rsidR="009B1CFD">
              <w:rPr>
                <w:rFonts w:cs="Calibri"/>
              </w:rPr>
              <w:t xml:space="preserve"> </w:t>
            </w:r>
            <w:r w:rsidR="004D1FAF">
              <w:rPr>
                <w:rFonts w:cs="Calibri"/>
              </w:rPr>
              <w:t>other factors</w:t>
            </w:r>
            <w:r w:rsidR="009B1CFD">
              <w:rPr>
                <w:rFonts w:cs="Calibri"/>
              </w:rPr>
              <w:t xml:space="preserve"> such as social and </w:t>
            </w:r>
            <w:r w:rsidR="0027355E">
              <w:rPr>
                <w:rFonts w:cs="Calibri"/>
              </w:rPr>
              <w:t xml:space="preserve">psychological </w:t>
            </w:r>
            <w:r w:rsidR="0027355E" w:rsidRPr="00682191">
              <w:rPr>
                <w:rFonts w:cs="Calibri"/>
              </w:rPr>
              <w:t>issues</w:t>
            </w:r>
            <w:r>
              <w:rPr>
                <w:rFonts w:cs="Calibri"/>
              </w:rPr>
              <w:t xml:space="preserve"> and</w:t>
            </w:r>
            <w:r w:rsidR="009B1CFD">
              <w:rPr>
                <w:rFonts w:cs="Calibri"/>
              </w:rPr>
              <w:t xml:space="preserve"> </w:t>
            </w:r>
            <w:r>
              <w:rPr>
                <w:rFonts w:cs="Calibri"/>
              </w:rPr>
              <w:t>medications</w:t>
            </w:r>
            <w:r w:rsidR="004D1FAF">
              <w:rPr>
                <w:rFonts w:cs="Calibri"/>
              </w:rPr>
              <w:t xml:space="preserve"> prescribed for mental health conditions</w:t>
            </w:r>
            <w:r>
              <w:rPr>
                <w:rFonts w:cs="Calibri"/>
              </w:rPr>
              <w:t xml:space="preserve"> </w:t>
            </w:r>
            <w:r w:rsidR="009B1CFD">
              <w:rPr>
                <w:rFonts w:cs="Calibri"/>
              </w:rPr>
              <w:t>typically associated with weight gain</w:t>
            </w:r>
          </w:p>
        </w:tc>
        <w:tc>
          <w:tcPr>
            <w:tcW w:w="4677" w:type="dxa"/>
            <w:shd w:val="clear" w:color="auto" w:fill="auto"/>
          </w:tcPr>
          <w:p w14:paraId="35618BE3" w14:textId="77777777" w:rsidR="009D07CE" w:rsidRDefault="009D07CE" w:rsidP="00EC723F"/>
        </w:tc>
      </w:tr>
      <w:tr w:rsidR="009D07CE" w14:paraId="77D3E0F0" w14:textId="77777777" w:rsidTr="00B76D82">
        <w:tc>
          <w:tcPr>
            <w:tcW w:w="10060" w:type="dxa"/>
          </w:tcPr>
          <w:p w14:paraId="4DE12BF4" w14:textId="00574674" w:rsidR="00425A5C" w:rsidRPr="00C849BA" w:rsidRDefault="00425A5C">
            <w:pPr>
              <w:pStyle w:val="ListParagraph"/>
              <w:numPr>
                <w:ilvl w:val="0"/>
                <w:numId w:val="8"/>
              </w:numPr>
              <w:rPr>
                <w:rFonts w:cs="Calibri"/>
              </w:rPr>
            </w:pPr>
            <w:r w:rsidRPr="00425A5C">
              <w:rPr>
                <w:rFonts w:cs="Calibri"/>
              </w:rPr>
              <w:t>HIV specific barriers to lifestyle change</w:t>
            </w:r>
            <w:r>
              <w:rPr>
                <w:rFonts w:cs="Calibri"/>
              </w:rPr>
              <w:t xml:space="preserve"> </w:t>
            </w:r>
          </w:p>
        </w:tc>
        <w:tc>
          <w:tcPr>
            <w:tcW w:w="4677" w:type="dxa"/>
            <w:shd w:val="clear" w:color="auto" w:fill="auto"/>
          </w:tcPr>
          <w:p w14:paraId="44D699B7" w14:textId="77777777" w:rsidR="009D07CE" w:rsidRDefault="009D07CE" w:rsidP="00EC723F"/>
        </w:tc>
      </w:tr>
      <w:tr w:rsidR="009D07CE" w14:paraId="70252BAD" w14:textId="77777777" w:rsidTr="00B76D82">
        <w:tc>
          <w:tcPr>
            <w:tcW w:w="10060" w:type="dxa"/>
          </w:tcPr>
          <w:p w14:paraId="2C66A4A3" w14:textId="6E853A1E" w:rsidR="009D07CE" w:rsidRDefault="009B1CFD">
            <w:pPr>
              <w:pStyle w:val="ListParagraph"/>
              <w:numPr>
                <w:ilvl w:val="0"/>
                <w:numId w:val="8"/>
              </w:numPr>
              <w:rPr>
                <w:rFonts w:cs="Calibri"/>
              </w:rPr>
            </w:pPr>
            <w:r>
              <w:rPr>
                <w:rFonts w:cs="Calibri"/>
              </w:rPr>
              <w:t>The impact of w</w:t>
            </w:r>
            <w:r w:rsidR="009D07CE" w:rsidRPr="00682191">
              <w:rPr>
                <w:rFonts w:cs="Calibri"/>
              </w:rPr>
              <w:t xml:space="preserve">eight stigma in an already vulnerable group, </w:t>
            </w:r>
            <w:r w:rsidR="009D07CE">
              <w:rPr>
                <w:rFonts w:cs="Calibri"/>
              </w:rPr>
              <w:t>and</w:t>
            </w:r>
            <w:r>
              <w:rPr>
                <w:rFonts w:cs="Calibri"/>
              </w:rPr>
              <w:t xml:space="preserve"> the</w:t>
            </w:r>
            <w:r w:rsidR="009D07CE">
              <w:rPr>
                <w:rFonts w:cs="Calibri"/>
              </w:rPr>
              <w:t xml:space="preserve"> importance of </w:t>
            </w:r>
            <w:r w:rsidR="009D07CE" w:rsidRPr="00682191">
              <w:rPr>
                <w:rFonts w:cs="Calibri"/>
              </w:rPr>
              <w:t xml:space="preserve">non-weight related health goals </w:t>
            </w:r>
            <w:r w:rsidR="009D07CE">
              <w:rPr>
                <w:rFonts w:cs="Calibri"/>
              </w:rPr>
              <w:t>for</w:t>
            </w:r>
            <w:r w:rsidR="009D07CE" w:rsidRPr="00682191">
              <w:rPr>
                <w:rFonts w:cs="Calibri"/>
              </w:rPr>
              <w:t xml:space="preserve"> </w:t>
            </w:r>
            <w:r>
              <w:rPr>
                <w:rFonts w:cs="Calibri"/>
              </w:rPr>
              <w:t>PLHIV with</w:t>
            </w:r>
            <w:r w:rsidR="00854BBA">
              <w:rPr>
                <w:rFonts w:cs="Calibri"/>
              </w:rPr>
              <w:t xml:space="preserve"> a</w:t>
            </w:r>
            <w:r>
              <w:rPr>
                <w:rFonts w:cs="Calibri"/>
              </w:rPr>
              <w:t xml:space="preserve"> higher BMI</w:t>
            </w:r>
          </w:p>
        </w:tc>
        <w:tc>
          <w:tcPr>
            <w:tcW w:w="4677" w:type="dxa"/>
            <w:shd w:val="clear" w:color="auto" w:fill="auto"/>
          </w:tcPr>
          <w:p w14:paraId="22B40B60" w14:textId="77777777" w:rsidR="009D07CE" w:rsidRDefault="009D07CE" w:rsidP="00EC723F"/>
        </w:tc>
      </w:tr>
      <w:tr w:rsidR="006011CE" w14:paraId="50E88F29" w14:textId="77777777" w:rsidTr="00B76D82">
        <w:tc>
          <w:tcPr>
            <w:tcW w:w="10060" w:type="dxa"/>
          </w:tcPr>
          <w:p w14:paraId="7E088758" w14:textId="2240BDEC" w:rsidR="006011CE" w:rsidRDefault="006011CE">
            <w:pPr>
              <w:pStyle w:val="ListParagraph"/>
              <w:numPr>
                <w:ilvl w:val="0"/>
                <w:numId w:val="8"/>
              </w:numPr>
              <w:rPr>
                <w:rFonts w:cs="Calibri"/>
              </w:rPr>
            </w:pPr>
            <w:r>
              <w:rPr>
                <w:rFonts w:cs="Calibri"/>
              </w:rPr>
              <w:t>Specific medications used to manage obesity and associated adverse effects as well as drug-drug interactions</w:t>
            </w:r>
          </w:p>
        </w:tc>
        <w:tc>
          <w:tcPr>
            <w:tcW w:w="4677" w:type="dxa"/>
            <w:shd w:val="clear" w:color="auto" w:fill="auto"/>
          </w:tcPr>
          <w:p w14:paraId="283D40B8" w14:textId="77777777" w:rsidR="006011CE" w:rsidRDefault="006011CE" w:rsidP="00EC723F"/>
        </w:tc>
      </w:tr>
      <w:tr w:rsidR="006E07FB" w14:paraId="6C13894D" w14:textId="77777777" w:rsidTr="006E07FB">
        <w:trPr>
          <w:trHeight w:val="844"/>
        </w:trPr>
        <w:tc>
          <w:tcPr>
            <w:tcW w:w="10060" w:type="dxa"/>
            <w:shd w:val="clear" w:color="auto" w:fill="F2F2F2" w:themeFill="background1" w:themeFillShade="F2"/>
          </w:tcPr>
          <w:p w14:paraId="1310F8E4" w14:textId="77777777" w:rsidR="005B34BD" w:rsidRDefault="005B34BD" w:rsidP="006E07FB"/>
          <w:p w14:paraId="7DEE9EE5" w14:textId="681BF19D" w:rsidR="006E07FB" w:rsidRPr="006E07FB" w:rsidRDefault="006E07FB" w:rsidP="006E07FB">
            <w:pPr>
              <w:rPr>
                <w:rFonts w:cs="Calibri"/>
              </w:rPr>
            </w:pPr>
            <w:r>
              <w:t>SKILLS            Be able to (appropriate to level and experience):</w:t>
            </w:r>
          </w:p>
        </w:tc>
        <w:tc>
          <w:tcPr>
            <w:tcW w:w="4677" w:type="dxa"/>
            <w:shd w:val="clear" w:color="auto" w:fill="F2F2F2" w:themeFill="background1" w:themeFillShade="F2"/>
          </w:tcPr>
          <w:p w14:paraId="4652A868" w14:textId="77777777" w:rsidR="006E07FB" w:rsidRDefault="006E07FB" w:rsidP="00EC723F"/>
        </w:tc>
      </w:tr>
      <w:tr w:rsidR="009D07CE" w14:paraId="48DA0AAC" w14:textId="77777777" w:rsidTr="009B1CFD">
        <w:tc>
          <w:tcPr>
            <w:tcW w:w="10060" w:type="dxa"/>
          </w:tcPr>
          <w:p w14:paraId="4B132F84" w14:textId="180194BC" w:rsidR="009D07CE" w:rsidRDefault="009D07CE">
            <w:pPr>
              <w:pStyle w:val="ListParagraph"/>
              <w:numPr>
                <w:ilvl w:val="0"/>
                <w:numId w:val="8"/>
              </w:numPr>
              <w:rPr>
                <w:rFonts w:cs="Calibri"/>
              </w:rPr>
            </w:pPr>
            <w:r>
              <w:rPr>
                <w:rFonts w:cs="Calibri"/>
              </w:rPr>
              <w:t>Carry out a</w:t>
            </w:r>
            <w:r w:rsidRPr="00682191">
              <w:rPr>
                <w:rFonts w:cs="Calibri"/>
              </w:rPr>
              <w:t>ppropriate anthropometry and/or assessments to identify obesity, and distinguish visceral fat from subcutaneous fat</w:t>
            </w:r>
            <w:r>
              <w:rPr>
                <w:rFonts w:cs="Calibri"/>
              </w:rPr>
              <w:t xml:space="preserve"> and lipodystrophy</w:t>
            </w:r>
          </w:p>
        </w:tc>
        <w:tc>
          <w:tcPr>
            <w:tcW w:w="4677" w:type="dxa"/>
            <w:shd w:val="clear" w:color="auto" w:fill="FFFFFF" w:themeFill="background1"/>
          </w:tcPr>
          <w:p w14:paraId="6A9A9F31" w14:textId="77777777" w:rsidR="009D07CE" w:rsidRDefault="009D07CE" w:rsidP="00EC723F"/>
        </w:tc>
      </w:tr>
      <w:tr w:rsidR="009D07CE" w14:paraId="0C4C1A80" w14:textId="77777777" w:rsidTr="009B1CFD">
        <w:tc>
          <w:tcPr>
            <w:tcW w:w="10060" w:type="dxa"/>
          </w:tcPr>
          <w:p w14:paraId="618A1A2F" w14:textId="16895D93" w:rsidR="009D07CE" w:rsidRPr="007F37B9" w:rsidRDefault="009D07CE">
            <w:pPr>
              <w:pStyle w:val="ListParagraph"/>
              <w:numPr>
                <w:ilvl w:val="0"/>
                <w:numId w:val="8"/>
              </w:numPr>
              <w:rPr>
                <w:rFonts w:cs="Calibri"/>
              </w:rPr>
            </w:pPr>
            <w:r>
              <w:rPr>
                <w:rFonts w:cs="Calibri"/>
              </w:rPr>
              <w:t>Refer to</w:t>
            </w:r>
            <w:r w:rsidRPr="00682191">
              <w:rPr>
                <w:rFonts w:cs="Calibri"/>
              </w:rPr>
              <w:t xml:space="preserve"> local initiatives both HIV and non-HIV that can support PLHIV with weight management</w:t>
            </w:r>
          </w:p>
        </w:tc>
        <w:tc>
          <w:tcPr>
            <w:tcW w:w="4677" w:type="dxa"/>
            <w:shd w:val="clear" w:color="auto" w:fill="FFFFFF" w:themeFill="background1"/>
          </w:tcPr>
          <w:p w14:paraId="68186E4B" w14:textId="77777777" w:rsidR="009D07CE" w:rsidRDefault="009D07CE" w:rsidP="00EC723F"/>
        </w:tc>
      </w:tr>
      <w:tr w:rsidR="00221545" w14:paraId="6E12F10D" w14:textId="77777777" w:rsidTr="009B1CFD">
        <w:tc>
          <w:tcPr>
            <w:tcW w:w="10060" w:type="dxa"/>
          </w:tcPr>
          <w:p w14:paraId="31D904D4" w14:textId="5CB9EDF7" w:rsidR="00221545" w:rsidRDefault="00221545">
            <w:pPr>
              <w:pStyle w:val="ListParagraph"/>
              <w:numPr>
                <w:ilvl w:val="0"/>
                <w:numId w:val="8"/>
              </w:numPr>
              <w:rPr>
                <w:rFonts w:cs="Calibri"/>
              </w:rPr>
            </w:pPr>
            <w:r>
              <w:t>Effectively utilise advanced communication skills such as active listening, motivational interviewing, counselling and cognitive behaviour therapy skills to facilitate behaviour change</w:t>
            </w:r>
          </w:p>
        </w:tc>
        <w:tc>
          <w:tcPr>
            <w:tcW w:w="4677" w:type="dxa"/>
            <w:shd w:val="clear" w:color="auto" w:fill="FFFFFF" w:themeFill="background1"/>
          </w:tcPr>
          <w:p w14:paraId="6D9AFE19" w14:textId="77777777" w:rsidR="00221545" w:rsidRDefault="00221545" w:rsidP="00221545"/>
        </w:tc>
      </w:tr>
      <w:tr w:rsidR="00221545" w14:paraId="6DBC85BF" w14:textId="77777777" w:rsidTr="009B1CFD">
        <w:tc>
          <w:tcPr>
            <w:tcW w:w="10060" w:type="dxa"/>
          </w:tcPr>
          <w:p w14:paraId="1B251471" w14:textId="5F0F9DBE" w:rsidR="00221545" w:rsidRPr="00AD004D" w:rsidRDefault="00221545">
            <w:pPr>
              <w:pStyle w:val="ListParagraph"/>
              <w:numPr>
                <w:ilvl w:val="0"/>
                <w:numId w:val="17"/>
              </w:numPr>
              <w:rPr>
                <w:rFonts w:cs="Calibri"/>
              </w:rPr>
            </w:pPr>
            <w:r w:rsidRPr="00AD004D">
              <w:rPr>
                <w:rFonts w:cs="Calibri"/>
              </w:rPr>
              <w:t xml:space="preserve">Carry out dietetic assessment and monitoring in PLHIV to help decipher key causes of weight gain, including extent of contribution of ARVs.  </w:t>
            </w:r>
          </w:p>
        </w:tc>
        <w:tc>
          <w:tcPr>
            <w:tcW w:w="4677" w:type="dxa"/>
            <w:shd w:val="clear" w:color="auto" w:fill="FFFFFF" w:themeFill="background1"/>
          </w:tcPr>
          <w:p w14:paraId="2346C9E8" w14:textId="77777777" w:rsidR="00221545" w:rsidRDefault="00221545" w:rsidP="00221545"/>
        </w:tc>
      </w:tr>
      <w:tr w:rsidR="00221545" w14:paraId="3EACB346" w14:textId="77777777" w:rsidTr="009B1CFD">
        <w:tc>
          <w:tcPr>
            <w:tcW w:w="10060" w:type="dxa"/>
          </w:tcPr>
          <w:p w14:paraId="7463E0A0" w14:textId="481CC4BC" w:rsidR="00221545" w:rsidRPr="00682191" w:rsidRDefault="00221545">
            <w:pPr>
              <w:pStyle w:val="ListParagraph"/>
              <w:numPr>
                <w:ilvl w:val="0"/>
                <w:numId w:val="8"/>
              </w:numPr>
              <w:rPr>
                <w:rFonts w:cs="Calibri"/>
              </w:rPr>
            </w:pPr>
            <w:r>
              <w:rPr>
                <w:rFonts w:cs="Calibri"/>
              </w:rPr>
              <w:t xml:space="preserve">Communicate with the MDT </w:t>
            </w:r>
            <w:r w:rsidRPr="00682191">
              <w:rPr>
                <w:rFonts w:cs="Calibri"/>
              </w:rPr>
              <w:t>where</w:t>
            </w:r>
            <w:r>
              <w:rPr>
                <w:rFonts w:cs="Calibri"/>
              </w:rPr>
              <w:t xml:space="preserve"> ARV</w:t>
            </w:r>
            <w:r w:rsidRPr="00682191">
              <w:rPr>
                <w:rFonts w:cs="Calibri"/>
              </w:rPr>
              <w:t xml:space="preserve"> changes should be considered to help with weight management</w:t>
            </w:r>
          </w:p>
        </w:tc>
        <w:tc>
          <w:tcPr>
            <w:tcW w:w="4677" w:type="dxa"/>
            <w:shd w:val="clear" w:color="auto" w:fill="FFFFFF" w:themeFill="background1"/>
          </w:tcPr>
          <w:p w14:paraId="33AAE8AB" w14:textId="77777777" w:rsidR="00221545" w:rsidRDefault="00221545" w:rsidP="00221545"/>
        </w:tc>
      </w:tr>
      <w:tr w:rsidR="00221545" w14:paraId="0E652C74" w14:textId="77777777" w:rsidTr="009B1CFD">
        <w:tc>
          <w:tcPr>
            <w:tcW w:w="10060" w:type="dxa"/>
            <w:tcBorders>
              <w:bottom w:val="single" w:sz="4" w:space="0" w:color="auto"/>
            </w:tcBorders>
          </w:tcPr>
          <w:p w14:paraId="20A0A61F" w14:textId="73A6EED3" w:rsidR="00221545" w:rsidRPr="00682191" w:rsidRDefault="00221545">
            <w:pPr>
              <w:pStyle w:val="ListParagraph"/>
              <w:numPr>
                <w:ilvl w:val="0"/>
                <w:numId w:val="8"/>
              </w:numPr>
              <w:rPr>
                <w:rFonts w:cs="Calibri"/>
              </w:rPr>
            </w:pPr>
            <w:r>
              <w:t>Provide evidence-</w:t>
            </w:r>
            <w:r w:rsidRPr="0089384F">
              <w:t xml:space="preserve">based dietary and lifestyle advice to </w:t>
            </w:r>
            <w:r>
              <w:t>manage</w:t>
            </w:r>
            <w:r>
              <w:rPr>
                <w:rFonts w:cs="Calibri"/>
              </w:rPr>
              <w:t xml:space="preserve"> obesity </w:t>
            </w:r>
            <w:r w:rsidR="00613EE5">
              <w:rPr>
                <w:rFonts w:cs="Calibri"/>
              </w:rPr>
              <w:t>(drawing upon UK Obesity Care Competency framework</w:t>
            </w:r>
            <w:r w:rsidR="000526F5">
              <w:rPr>
                <w:rFonts w:cs="Calibri"/>
              </w:rPr>
              <w:t xml:space="preserve"> </w:t>
            </w:r>
            <w:r w:rsidR="000526F5">
              <w:rPr>
                <w:rFonts w:cs="Calibri"/>
                <w:vertAlign w:val="superscript"/>
              </w:rPr>
              <w:t>(7)</w:t>
            </w:r>
            <w:r>
              <w:rPr>
                <w:rFonts w:cs="Calibri"/>
              </w:rPr>
              <w:t>)</w:t>
            </w:r>
          </w:p>
        </w:tc>
        <w:tc>
          <w:tcPr>
            <w:tcW w:w="4677" w:type="dxa"/>
            <w:tcBorders>
              <w:bottom w:val="single" w:sz="4" w:space="0" w:color="auto"/>
            </w:tcBorders>
            <w:shd w:val="clear" w:color="auto" w:fill="FFFFFF" w:themeFill="background1"/>
          </w:tcPr>
          <w:p w14:paraId="17EA30F7" w14:textId="68077A7F" w:rsidR="00221545" w:rsidRDefault="00221545" w:rsidP="00221545"/>
        </w:tc>
      </w:tr>
    </w:tbl>
    <w:p w14:paraId="483C08A2" w14:textId="43D79D0E" w:rsidR="00144AF6" w:rsidRDefault="00144AF6"/>
    <w:p w14:paraId="7E7C1CCB" w14:textId="68A0347D" w:rsidR="00144AF6" w:rsidRPr="003456CC" w:rsidRDefault="00A31DB5">
      <w:pPr>
        <w:pStyle w:val="Heading3"/>
        <w:numPr>
          <w:ilvl w:val="2"/>
          <w:numId w:val="19"/>
        </w:numPr>
        <w:rPr>
          <w:rStyle w:val="IntenseEmphasis"/>
        </w:rPr>
      </w:pPr>
      <w:bookmarkStart w:id="15" w:name="_Toc125983087"/>
      <w:r w:rsidRPr="003456CC">
        <w:rPr>
          <w:rStyle w:val="IntenseEmphasis"/>
        </w:rPr>
        <w:t>Lipodystrophy</w:t>
      </w:r>
      <w:bookmarkEnd w:id="15"/>
    </w:p>
    <w:p w14:paraId="650A7EA4" w14:textId="77777777" w:rsidR="00482975" w:rsidRPr="00482975" w:rsidRDefault="00482975" w:rsidP="00482975"/>
    <w:tbl>
      <w:tblPr>
        <w:tblStyle w:val="TableGrid"/>
        <w:tblW w:w="14737" w:type="dxa"/>
        <w:tblLayout w:type="fixed"/>
        <w:tblLook w:val="04A0" w:firstRow="1" w:lastRow="0" w:firstColumn="1" w:lastColumn="0" w:noHBand="0" w:noVBand="1"/>
      </w:tblPr>
      <w:tblGrid>
        <w:gridCol w:w="10060"/>
        <w:gridCol w:w="4677"/>
      </w:tblGrid>
      <w:tr w:rsidR="009D63F6" w14:paraId="01C9C8D6" w14:textId="77777777" w:rsidTr="005B34BD">
        <w:trPr>
          <w:cantSplit/>
          <w:trHeight w:val="1141"/>
        </w:trPr>
        <w:tc>
          <w:tcPr>
            <w:tcW w:w="10060" w:type="dxa"/>
            <w:shd w:val="clear" w:color="auto" w:fill="F2F2F2" w:themeFill="background1" w:themeFillShade="F2"/>
          </w:tcPr>
          <w:p w14:paraId="63B03E82" w14:textId="77777777" w:rsidR="009D63F6" w:rsidRDefault="009D63F6" w:rsidP="0024116F">
            <w:pPr>
              <w:rPr>
                <w:b/>
              </w:rPr>
            </w:pPr>
          </w:p>
          <w:p w14:paraId="7B5AEC12" w14:textId="77777777" w:rsidR="009D63F6" w:rsidRPr="00A31DB5" w:rsidRDefault="009D63F6" w:rsidP="00A31DB5">
            <w:pPr>
              <w:rPr>
                <w:i/>
              </w:rPr>
            </w:pPr>
            <w:r>
              <w:t>KNOWLEDGE      Demonstrate good</w:t>
            </w:r>
            <w:r w:rsidRPr="0036044E">
              <w:t xml:space="preserve"> working and background knowledge </w:t>
            </w:r>
            <w:r>
              <w:t xml:space="preserve">(to appropriate level) </w:t>
            </w:r>
            <w:r w:rsidRPr="0036044E">
              <w:t>of:</w:t>
            </w:r>
            <w:r>
              <w:t xml:space="preserve"> </w:t>
            </w:r>
          </w:p>
        </w:tc>
        <w:tc>
          <w:tcPr>
            <w:tcW w:w="4677" w:type="dxa"/>
            <w:shd w:val="clear" w:color="auto" w:fill="F2F2F2" w:themeFill="background1" w:themeFillShade="F2"/>
          </w:tcPr>
          <w:p w14:paraId="6A1F6F7D" w14:textId="77777777" w:rsidR="009D63F6" w:rsidRPr="009108C7" w:rsidRDefault="009D63F6" w:rsidP="0024116F">
            <w:pPr>
              <w:jc w:val="both"/>
              <w:rPr>
                <w:b/>
              </w:rPr>
            </w:pPr>
          </w:p>
          <w:p w14:paraId="5304FF7A" w14:textId="77777777" w:rsidR="009D63F6" w:rsidRDefault="009D63F6" w:rsidP="0024116F">
            <w:r w:rsidRPr="000045EA">
              <w:rPr>
                <w:b/>
              </w:rPr>
              <w:t xml:space="preserve">Evidence </w:t>
            </w:r>
          </w:p>
        </w:tc>
      </w:tr>
      <w:tr w:rsidR="009D63F6" w14:paraId="0F8C8E58" w14:textId="77777777" w:rsidTr="0024116F">
        <w:tc>
          <w:tcPr>
            <w:tcW w:w="10060" w:type="dxa"/>
          </w:tcPr>
          <w:p w14:paraId="352A613B" w14:textId="30014517" w:rsidR="009D63F6" w:rsidRPr="00682191" w:rsidRDefault="00A31DB5">
            <w:pPr>
              <w:pStyle w:val="ListParagraph"/>
              <w:numPr>
                <w:ilvl w:val="0"/>
                <w:numId w:val="8"/>
              </w:numPr>
              <w:rPr>
                <w:rFonts w:cs="Calibri"/>
              </w:rPr>
            </w:pPr>
            <w:r>
              <w:rPr>
                <w:rFonts w:cs="Calibri"/>
              </w:rPr>
              <w:t>L</w:t>
            </w:r>
            <w:r w:rsidRPr="0089384F">
              <w:rPr>
                <w:rFonts w:cs="Calibri"/>
              </w:rPr>
              <w:t xml:space="preserve">ipodystrophy, lipoatrophy and lipohypertrophy and </w:t>
            </w:r>
            <w:r>
              <w:rPr>
                <w:rFonts w:cs="Calibri"/>
              </w:rPr>
              <w:t xml:space="preserve">older </w:t>
            </w:r>
            <w:r w:rsidRPr="0089384F">
              <w:rPr>
                <w:rFonts w:cs="Calibri"/>
              </w:rPr>
              <w:t xml:space="preserve">classes of ARVs </w:t>
            </w:r>
            <w:r>
              <w:rPr>
                <w:rFonts w:cs="Calibri"/>
              </w:rPr>
              <w:t>linked to</w:t>
            </w:r>
            <w:r w:rsidRPr="0089384F">
              <w:rPr>
                <w:rFonts w:cs="Calibri"/>
              </w:rPr>
              <w:t xml:space="preserve"> body fat distribution changes</w:t>
            </w:r>
            <w:r w:rsidR="00854BBA">
              <w:rPr>
                <w:rFonts w:cs="Calibri"/>
                <w:vertAlign w:val="superscript"/>
              </w:rPr>
              <w:t>(9)</w:t>
            </w:r>
          </w:p>
        </w:tc>
        <w:tc>
          <w:tcPr>
            <w:tcW w:w="4677" w:type="dxa"/>
            <w:shd w:val="clear" w:color="auto" w:fill="auto"/>
          </w:tcPr>
          <w:p w14:paraId="35E0E3B6" w14:textId="77777777" w:rsidR="009D63F6" w:rsidRDefault="009D63F6" w:rsidP="0024116F"/>
        </w:tc>
      </w:tr>
      <w:tr w:rsidR="009D63F6" w14:paraId="66828F11" w14:textId="77777777" w:rsidTr="006E07FB">
        <w:tc>
          <w:tcPr>
            <w:tcW w:w="10060" w:type="dxa"/>
            <w:shd w:val="clear" w:color="auto" w:fill="F2F2F2" w:themeFill="background1" w:themeFillShade="F2"/>
          </w:tcPr>
          <w:p w14:paraId="40033749" w14:textId="77777777" w:rsidR="00A31DB5" w:rsidRDefault="00A31DB5" w:rsidP="00A31DB5"/>
          <w:p w14:paraId="1E3D758D" w14:textId="7A4E4410" w:rsidR="00A31DB5" w:rsidRPr="00A31DB5" w:rsidRDefault="00A31DB5" w:rsidP="00A31DB5">
            <w:pPr>
              <w:rPr>
                <w:rFonts w:cs="Calibri"/>
              </w:rPr>
            </w:pPr>
            <w:r>
              <w:t>SKILLS            Be able to (appropriate to level and experience):</w:t>
            </w:r>
          </w:p>
        </w:tc>
        <w:tc>
          <w:tcPr>
            <w:tcW w:w="4677" w:type="dxa"/>
            <w:shd w:val="clear" w:color="auto" w:fill="F2F2F2" w:themeFill="background1" w:themeFillShade="F2"/>
          </w:tcPr>
          <w:p w14:paraId="36D362D0" w14:textId="77777777" w:rsidR="009D63F6" w:rsidRDefault="009D63F6" w:rsidP="0024116F"/>
        </w:tc>
      </w:tr>
      <w:tr w:rsidR="00A31DB5" w14:paraId="4A2B8469" w14:textId="77777777" w:rsidTr="0024116F">
        <w:tc>
          <w:tcPr>
            <w:tcW w:w="10060" w:type="dxa"/>
          </w:tcPr>
          <w:p w14:paraId="39B76049" w14:textId="3CEC950F" w:rsidR="00A31DB5" w:rsidRPr="00C849BA" w:rsidRDefault="00A31DB5">
            <w:pPr>
              <w:pStyle w:val="ListParagraph"/>
              <w:numPr>
                <w:ilvl w:val="0"/>
                <w:numId w:val="8"/>
              </w:numPr>
              <w:rPr>
                <w:rFonts w:cs="Calibri"/>
              </w:rPr>
            </w:pPr>
            <w:r>
              <w:rPr>
                <w:rFonts w:cs="Calibri"/>
              </w:rPr>
              <w:t>Carry out a f</w:t>
            </w:r>
            <w:r w:rsidRPr="0089384F">
              <w:rPr>
                <w:rFonts w:cs="Calibri"/>
              </w:rPr>
              <w:t>ull anthropometric assessment to identify lipodystrophy and distinguish lipohypertrophy from obesity</w:t>
            </w:r>
            <w:r>
              <w:rPr>
                <w:rFonts w:cs="Calibri"/>
              </w:rPr>
              <w:t>,</w:t>
            </w:r>
            <w:r w:rsidRPr="0089384F">
              <w:rPr>
                <w:rFonts w:cs="Calibri"/>
              </w:rPr>
              <w:t xml:space="preserve"> and lipoatrophy from malnutrition (skin fold thickness, limb circumferences, waist to hip ratio, bio-electrical impedance)</w:t>
            </w:r>
          </w:p>
        </w:tc>
        <w:tc>
          <w:tcPr>
            <w:tcW w:w="4677" w:type="dxa"/>
            <w:shd w:val="clear" w:color="auto" w:fill="auto"/>
          </w:tcPr>
          <w:p w14:paraId="4AF59394" w14:textId="77777777" w:rsidR="00A31DB5" w:rsidRDefault="00A31DB5" w:rsidP="00A31DB5"/>
        </w:tc>
      </w:tr>
      <w:tr w:rsidR="00A31DB5" w14:paraId="64EFA7A2" w14:textId="77777777" w:rsidTr="0024116F">
        <w:tc>
          <w:tcPr>
            <w:tcW w:w="10060" w:type="dxa"/>
          </w:tcPr>
          <w:p w14:paraId="02837C5A" w14:textId="60A18A5A" w:rsidR="00A31DB5" w:rsidRDefault="00A31DB5">
            <w:pPr>
              <w:pStyle w:val="ListParagraph"/>
              <w:numPr>
                <w:ilvl w:val="0"/>
                <w:numId w:val="8"/>
              </w:numPr>
              <w:rPr>
                <w:rFonts w:cs="Calibri"/>
              </w:rPr>
            </w:pPr>
            <w:r>
              <w:t xml:space="preserve">Encourage non-weight related health goals for </w:t>
            </w:r>
            <w:r w:rsidR="0027355E">
              <w:t xml:space="preserve">the </w:t>
            </w:r>
            <w:r w:rsidR="0027355E" w:rsidRPr="0089384F">
              <w:t>management</w:t>
            </w:r>
            <w:r>
              <w:t xml:space="preserve"> of</w:t>
            </w:r>
            <w:r w:rsidRPr="0089384F">
              <w:t xml:space="preserve"> lipodystrophy</w:t>
            </w:r>
            <w:r>
              <w:t xml:space="preserve"> where weight change is deemed unrealistic   </w:t>
            </w:r>
          </w:p>
        </w:tc>
        <w:tc>
          <w:tcPr>
            <w:tcW w:w="4677" w:type="dxa"/>
            <w:shd w:val="clear" w:color="auto" w:fill="auto"/>
          </w:tcPr>
          <w:p w14:paraId="094631C2" w14:textId="77777777" w:rsidR="00A31DB5" w:rsidRDefault="00A31DB5" w:rsidP="00A31DB5"/>
        </w:tc>
      </w:tr>
    </w:tbl>
    <w:p w14:paraId="64B926F1" w14:textId="5EA9549C" w:rsidR="00A31DB5" w:rsidRPr="00585714" w:rsidRDefault="00A31DB5">
      <w:pPr>
        <w:pStyle w:val="Heading3"/>
        <w:numPr>
          <w:ilvl w:val="2"/>
          <w:numId w:val="19"/>
        </w:numPr>
        <w:rPr>
          <w:rStyle w:val="IntenseEmphasis"/>
        </w:rPr>
      </w:pPr>
      <w:bookmarkStart w:id="16" w:name="_Toc125983088"/>
      <w:r w:rsidRPr="003456CC">
        <w:rPr>
          <w:rStyle w:val="IntenseEmphasis"/>
        </w:rPr>
        <w:t>Impaired glucose tolerance, Diabetes mellitus and metabolic syndrome</w:t>
      </w:r>
      <w:bookmarkEnd w:id="16"/>
    </w:p>
    <w:p w14:paraId="211FC841" w14:textId="77777777" w:rsidR="00482975" w:rsidRPr="00482975" w:rsidRDefault="00482975" w:rsidP="00482975"/>
    <w:tbl>
      <w:tblPr>
        <w:tblStyle w:val="TableGrid"/>
        <w:tblW w:w="14742" w:type="dxa"/>
        <w:tblInd w:w="-5" w:type="dxa"/>
        <w:tblLook w:val="04A0" w:firstRow="1" w:lastRow="0" w:firstColumn="1" w:lastColumn="0" w:noHBand="0" w:noVBand="1"/>
      </w:tblPr>
      <w:tblGrid>
        <w:gridCol w:w="10065"/>
        <w:gridCol w:w="4677"/>
      </w:tblGrid>
      <w:tr w:rsidR="00A31DB5" w14:paraId="6CF1847D" w14:textId="77777777" w:rsidTr="006E07FB">
        <w:trPr>
          <w:trHeight w:val="809"/>
        </w:trPr>
        <w:tc>
          <w:tcPr>
            <w:tcW w:w="10065" w:type="dxa"/>
            <w:shd w:val="clear" w:color="auto" w:fill="F2F2F2" w:themeFill="background1" w:themeFillShade="F2"/>
          </w:tcPr>
          <w:p w14:paraId="7A4C7FAC" w14:textId="77777777" w:rsidR="005B34BD" w:rsidRDefault="005B34BD" w:rsidP="00A31DB5">
            <w:pPr>
              <w:pStyle w:val="NoSpacing"/>
            </w:pPr>
          </w:p>
          <w:p w14:paraId="2F3C640E" w14:textId="0D29090A" w:rsidR="00A31DB5" w:rsidRDefault="00A31DB5" w:rsidP="00A31DB5">
            <w:pPr>
              <w:pStyle w:val="NoSpacing"/>
            </w:pPr>
            <w:r>
              <w:t>KNOWLEDGE      Demonstrate good</w:t>
            </w:r>
            <w:r w:rsidRPr="0036044E">
              <w:t xml:space="preserve"> working and background knowledge </w:t>
            </w:r>
            <w:r>
              <w:t xml:space="preserve">(to appropriate level) </w:t>
            </w:r>
            <w:r w:rsidRPr="0036044E">
              <w:t>of:</w:t>
            </w:r>
            <w:r>
              <w:t xml:space="preserve"> </w:t>
            </w:r>
          </w:p>
        </w:tc>
        <w:tc>
          <w:tcPr>
            <w:tcW w:w="4677" w:type="dxa"/>
            <w:shd w:val="clear" w:color="auto" w:fill="F2F2F2" w:themeFill="background1" w:themeFillShade="F2"/>
          </w:tcPr>
          <w:p w14:paraId="687B615D" w14:textId="77777777" w:rsidR="005B34BD" w:rsidRDefault="005B34BD" w:rsidP="00A31DB5">
            <w:pPr>
              <w:pStyle w:val="NoSpacing"/>
              <w:rPr>
                <w:b/>
              </w:rPr>
            </w:pPr>
          </w:p>
          <w:p w14:paraId="3AD733F8" w14:textId="64172F38" w:rsidR="00A31DB5" w:rsidRDefault="00A31DB5" w:rsidP="00A31DB5">
            <w:pPr>
              <w:pStyle w:val="NoSpacing"/>
            </w:pPr>
            <w:r w:rsidRPr="00A31DB5">
              <w:rPr>
                <w:b/>
              </w:rPr>
              <w:t>Evidence</w:t>
            </w:r>
          </w:p>
        </w:tc>
      </w:tr>
      <w:tr w:rsidR="00A31DB5" w14:paraId="46C9B8D5" w14:textId="77777777" w:rsidTr="00A31DB5">
        <w:tc>
          <w:tcPr>
            <w:tcW w:w="10065" w:type="dxa"/>
          </w:tcPr>
          <w:p w14:paraId="08748F9F" w14:textId="3D8F02C7" w:rsidR="00A31DB5" w:rsidRPr="00A31DB5" w:rsidRDefault="00A31DB5">
            <w:pPr>
              <w:pStyle w:val="ListParagraph"/>
              <w:numPr>
                <w:ilvl w:val="0"/>
                <w:numId w:val="8"/>
              </w:numPr>
              <w:rPr>
                <w:rFonts w:cs="Calibri"/>
              </w:rPr>
            </w:pPr>
            <w:r w:rsidRPr="004D011B">
              <w:rPr>
                <w:rFonts w:cs="Calibri"/>
              </w:rPr>
              <w:t>The multifactorial reasons for the increased risk of impaired glucose tolerance, diabetes and metabolic syndrome amongst PLHIV</w:t>
            </w:r>
            <w:r w:rsidR="00946E50">
              <w:rPr>
                <w:rFonts w:cs="Calibri"/>
                <w:vertAlign w:val="superscript"/>
              </w:rPr>
              <w:t>(9)</w:t>
            </w:r>
          </w:p>
        </w:tc>
        <w:tc>
          <w:tcPr>
            <w:tcW w:w="4677" w:type="dxa"/>
            <w:shd w:val="clear" w:color="auto" w:fill="auto"/>
          </w:tcPr>
          <w:p w14:paraId="7AB682ED" w14:textId="77777777" w:rsidR="00A31DB5" w:rsidRDefault="00A31DB5" w:rsidP="00A31DB5">
            <w:pPr>
              <w:pStyle w:val="NoSpacing"/>
            </w:pPr>
          </w:p>
        </w:tc>
      </w:tr>
      <w:tr w:rsidR="00A31DB5" w14:paraId="360B1016" w14:textId="77777777" w:rsidTr="00A31DB5">
        <w:tc>
          <w:tcPr>
            <w:tcW w:w="10065" w:type="dxa"/>
          </w:tcPr>
          <w:p w14:paraId="43C48B3C" w14:textId="0D9A5D0D" w:rsidR="00A31DB5" w:rsidRPr="00A31DB5" w:rsidRDefault="00E74CE2">
            <w:pPr>
              <w:pStyle w:val="ListParagraph"/>
              <w:numPr>
                <w:ilvl w:val="0"/>
                <w:numId w:val="8"/>
              </w:numPr>
              <w:rPr>
                <w:rFonts w:cs="Calibri"/>
              </w:rPr>
            </w:pPr>
            <w:r>
              <w:rPr>
                <w:rFonts w:cs="Calibri"/>
              </w:rPr>
              <w:t>T</w:t>
            </w:r>
            <w:r w:rsidR="00A31DB5" w:rsidRPr="004D011B">
              <w:rPr>
                <w:rFonts w:cs="Calibri"/>
              </w:rPr>
              <w:t>he influence diabetes medications can have on weight and fat redistribution in PLHIV</w:t>
            </w:r>
          </w:p>
        </w:tc>
        <w:tc>
          <w:tcPr>
            <w:tcW w:w="4677" w:type="dxa"/>
            <w:shd w:val="clear" w:color="auto" w:fill="FFFFFF" w:themeFill="background1"/>
          </w:tcPr>
          <w:p w14:paraId="661E5E0D" w14:textId="77777777" w:rsidR="00A31DB5" w:rsidRDefault="00A31DB5" w:rsidP="00A31DB5">
            <w:pPr>
              <w:pStyle w:val="NoSpacing"/>
            </w:pPr>
          </w:p>
        </w:tc>
      </w:tr>
      <w:tr w:rsidR="00A31DB5" w14:paraId="3207E84E" w14:textId="77777777" w:rsidTr="006E07FB">
        <w:trPr>
          <w:trHeight w:val="718"/>
        </w:trPr>
        <w:tc>
          <w:tcPr>
            <w:tcW w:w="10065" w:type="dxa"/>
            <w:shd w:val="clear" w:color="auto" w:fill="F2F2F2" w:themeFill="background1" w:themeFillShade="F2"/>
          </w:tcPr>
          <w:p w14:paraId="7B374DE3" w14:textId="77777777" w:rsidR="005B34BD" w:rsidRDefault="005B34BD" w:rsidP="00A31DB5">
            <w:pPr>
              <w:pStyle w:val="NoSpacing"/>
            </w:pPr>
          </w:p>
          <w:p w14:paraId="6174DD07" w14:textId="63CAEEC8" w:rsidR="00A31DB5" w:rsidRDefault="00A31DB5" w:rsidP="00A31DB5">
            <w:pPr>
              <w:pStyle w:val="NoSpacing"/>
            </w:pPr>
            <w:r>
              <w:t xml:space="preserve">SKILLS            Be able to (appropriate to level and experience): </w:t>
            </w:r>
          </w:p>
        </w:tc>
        <w:tc>
          <w:tcPr>
            <w:tcW w:w="4677" w:type="dxa"/>
            <w:shd w:val="clear" w:color="auto" w:fill="F2F2F2" w:themeFill="background1" w:themeFillShade="F2"/>
          </w:tcPr>
          <w:p w14:paraId="5B5048DB" w14:textId="77777777" w:rsidR="00A31DB5" w:rsidRDefault="00A31DB5" w:rsidP="00A31DB5">
            <w:pPr>
              <w:pStyle w:val="NoSpacing"/>
            </w:pPr>
          </w:p>
        </w:tc>
      </w:tr>
      <w:tr w:rsidR="00A31DB5" w14:paraId="0AB9752B" w14:textId="77777777" w:rsidTr="00A31DB5">
        <w:tc>
          <w:tcPr>
            <w:tcW w:w="10065" w:type="dxa"/>
          </w:tcPr>
          <w:p w14:paraId="7467BDA4" w14:textId="74696106" w:rsidR="00A31DB5" w:rsidRPr="00A31DB5" w:rsidRDefault="00A31DB5">
            <w:pPr>
              <w:pStyle w:val="ListParagraph"/>
              <w:numPr>
                <w:ilvl w:val="0"/>
                <w:numId w:val="8"/>
              </w:numPr>
              <w:rPr>
                <w:rFonts w:cs="Calibri"/>
              </w:rPr>
            </w:pPr>
            <w:r w:rsidRPr="004D011B">
              <w:rPr>
                <w:rFonts w:cs="Calibri"/>
              </w:rPr>
              <w:t>Work within own limitations and appropriately refer to specialist diabetes dietitians as needed (e.g. for carbohydrate counting)</w:t>
            </w:r>
          </w:p>
        </w:tc>
        <w:tc>
          <w:tcPr>
            <w:tcW w:w="4677" w:type="dxa"/>
            <w:shd w:val="clear" w:color="auto" w:fill="auto"/>
          </w:tcPr>
          <w:p w14:paraId="4AE33D74" w14:textId="77777777" w:rsidR="00A31DB5" w:rsidRDefault="00A31DB5" w:rsidP="00A31DB5">
            <w:pPr>
              <w:pStyle w:val="NoSpacing"/>
            </w:pPr>
          </w:p>
        </w:tc>
      </w:tr>
      <w:tr w:rsidR="00A31DB5" w14:paraId="29F4F84D" w14:textId="77777777" w:rsidTr="00A31DB5">
        <w:tc>
          <w:tcPr>
            <w:tcW w:w="10065" w:type="dxa"/>
          </w:tcPr>
          <w:p w14:paraId="07D0A6ED" w14:textId="09BC1453" w:rsidR="00A31DB5" w:rsidRPr="00A31DB5" w:rsidRDefault="00A31DB5">
            <w:pPr>
              <w:pStyle w:val="ListParagraph"/>
              <w:numPr>
                <w:ilvl w:val="0"/>
                <w:numId w:val="8"/>
              </w:numPr>
              <w:rPr>
                <w:rFonts w:cs="Calibri"/>
              </w:rPr>
            </w:pPr>
            <w:r w:rsidRPr="004D011B">
              <w:rPr>
                <w:rFonts w:cs="Calibri"/>
              </w:rPr>
              <w:t>Meet entry level competencies for dietitians working in diabetes</w:t>
            </w:r>
            <w:r w:rsidRPr="006B5D7C">
              <w:rPr>
                <w:rFonts w:cs="Calibri"/>
                <w:vertAlign w:val="superscript"/>
              </w:rPr>
              <w:t>(8)</w:t>
            </w:r>
            <w:r w:rsidRPr="004D011B">
              <w:rPr>
                <w:rFonts w:cs="Calibri"/>
              </w:rPr>
              <w:t xml:space="preserve"> </w:t>
            </w:r>
          </w:p>
        </w:tc>
        <w:tc>
          <w:tcPr>
            <w:tcW w:w="4677" w:type="dxa"/>
            <w:shd w:val="clear" w:color="auto" w:fill="auto"/>
          </w:tcPr>
          <w:p w14:paraId="6AA07D54" w14:textId="77777777" w:rsidR="00A31DB5" w:rsidRDefault="00A31DB5" w:rsidP="00A31DB5">
            <w:pPr>
              <w:pStyle w:val="NoSpacing"/>
            </w:pPr>
          </w:p>
        </w:tc>
      </w:tr>
      <w:tr w:rsidR="00A31DB5" w14:paraId="2DE2F61F" w14:textId="77777777" w:rsidTr="00A31DB5">
        <w:tc>
          <w:tcPr>
            <w:tcW w:w="10065" w:type="dxa"/>
          </w:tcPr>
          <w:p w14:paraId="35E67452" w14:textId="0F64726C" w:rsidR="00A31DB5" w:rsidRPr="00A31DB5" w:rsidRDefault="00A31DB5">
            <w:pPr>
              <w:pStyle w:val="ListParagraph"/>
              <w:numPr>
                <w:ilvl w:val="0"/>
                <w:numId w:val="8"/>
              </w:numPr>
              <w:rPr>
                <w:rFonts w:cs="Calibri"/>
              </w:rPr>
            </w:pPr>
            <w:r w:rsidRPr="004D011B">
              <w:rPr>
                <w:rFonts w:cs="Calibri"/>
              </w:rPr>
              <w:t xml:space="preserve">Co-manage the care of complex patients with specialist diabetes dietitians </w:t>
            </w:r>
          </w:p>
        </w:tc>
        <w:tc>
          <w:tcPr>
            <w:tcW w:w="4677" w:type="dxa"/>
            <w:shd w:val="clear" w:color="auto" w:fill="FFFFFF" w:themeFill="background1"/>
          </w:tcPr>
          <w:p w14:paraId="6509392A" w14:textId="77777777" w:rsidR="00A31DB5" w:rsidRDefault="00A31DB5" w:rsidP="00A31DB5">
            <w:pPr>
              <w:pStyle w:val="NoSpacing"/>
            </w:pPr>
          </w:p>
        </w:tc>
      </w:tr>
      <w:tr w:rsidR="00A31DB5" w14:paraId="36173200" w14:textId="77777777" w:rsidTr="00A31DB5">
        <w:tc>
          <w:tcPr>
            <w:tcW w:w="10065" w:type="dxa"/>
          </w:tcPr>
          <w:p w14:paraId="7708D262" w14:textId="1B864A8A" w:rsidR="00A31DB5" w:rsidRPr="00A31DB5" w:rsidRDefault="00A31DB5">
            <w:pPr>
              <w:pStyle w:val="ListParagraph"/>
              <w:numPr>
                <w:ilvl w:val="0"/>
                <w:numId w:val="8"/>
              </w:numPr>
              <w:rPr>
                <w:rFonts w:cs="Calibri"/>
              </w:rPr>
            </w:pPr>
            <w:r w:rsidRPr="004D011B">
              <w:rPr>
                <w:rFonts w:cs="Calibri"/>
              </w:rPr>
              <w:t>Reiterate advice for safe disposal of lancets, glucose strips, insulin syringes, pens and needles to prevent HIV transmission</w:t>
            </w:r>
          </w:p>
        </w:tc>
        <w:tc>
          <w:tcPr>
            <w:tcW w:w="4677" w:type="dxa"/>
            <w:shd w:val="clear" w:color="auto" w:fill="FFFFFF" w:themeFill="background1"/>
          </w:tcPr>
          <w:p w14:paraId="287BF29D" w14:textId="77777777" w:rsidR="00A31DB5" w:rsidRDefault="00A31DB5" w:rsidP="00A31DB5">
            <w:pPr>
              <w:pStyle w:val="NoSpacing"/>
            </w:pPr>
          </w:p>
        </w:tc>
      </w:tr>
    </w:tbl>
    <w:p w14:paraId="54CCFFB5" w14:textId="4D66373C" w:rsidR="005B34BD" w:rsidRDefault="005B34BD">
      <w:pPr>
        <w:spacing w:after="200" w:line="276" w:lineRule="auto"/>
        <w:rPr>
          <w:rFonts w:asciiTheme="majorHAnsi" w:eastAsiaTheme="majorEastAsia" w:hAnsiTheme="majorHAnsi" w:cstheme="majorBidi"/>
          <w:color w:val="243F60" w:themeColor="accent1" w:themeShade="7F"/>
          <w:sz w:val="24"/>
          <w:szCs w:val="24"/>
        </w:rPr>
      </w:pPr>
    </w:p>
    <w:p w14:paraId="6561D33C" w14:textId="77777777" w:rsidR="005B34BD" w:rsidRDefault="005B34BD">
      <w:pPr>
        <w:spacing w:after="200" w:line="276" w:lineRule="auto"/>
        <w:rPr>
          <w:rFonts w:asciiTheme="majorHAnsi" w:eastAsiaTheme="majorEastAsia" w:hAnsiTheme="majorHAnsi" w:cstheme="majorBidi"/>
          <w:color w:val="243F60" w:themeColor="accent1" w:themeShade="7F"/>
          <w:sz w:val="24"/>
          <w:szCs w:val="24"/>
        </w:rPr>
      </w:pPr>
      <w:r>
        <w:rPr>
          <w:rFonts w:asciiTheme="majorHAnsi" w:eastAsiaTheme="majorEastAsia" w:hAnsiTheme="majorHAnsi" w:cstheme="majorBidi"/>
          <w:color w:val="243F60" w:themeColor="accent1" w:themeShade="7F"/>
          <w:sz w:val="24"/>
          <w:szCs w:val="24"/>
        </w:rPr>
        <w:br w:type="page"/>
      </w:r>
    </w:p>
    <w:p w14:paraId="3C16AFE2" w14:textId="77777777" w:rsidR="00E74CE2" w:rsidRDefault="00E74CE2">
      <w:pPr>
        <w:spacing w:after="200" w:line="276" w:lineRule="auto"/>
        <w:rPr>
          <w:rFonts w:asciiTheme="majorHAnsi" w:eastAsiaTheme="majorEastAsia" w:hAnsiTheme="majorHAnsi" w:cstheme="majorBidi"/>
          <w:color w:val="243F60" w:themeColor="accent1" w:themeShade="7F"/>
          <w:sz w:val="24"/>
          <w:szCs w:val="24"/>
        </w:rPr>
      </w:pPr>
    </w:p>
    <w:p w14:paraId="40854B2C" w14:textId="5B522873" w:rsidR="00E74CE2" w:rsidRPr="003456CC" w:rsidRDefault="00E74CE2">
      <w:pPr>
        <w:pStyle w:val="Heading3"/>
        <w:numPr>
          <w:ilvl w:val="2"/>
          <w:numId w:val="19"/>
        </w:numPr>
        <w:rPr>
          <w:rStyle w:val="IntenseEmphasis"/>
        </w:rPr>
      </w:pPr>
      <w:bookmarkStart w:id="17" w:name="_Toc125983089"/>
      <w:r w:rsidRPr="003456CC">
        <w:rPr>
          <w:rStyle w:val="IntenseEmphasis"/>
        </w:rPr>
        <w:t>Cardiovascular Disease (CVD)</w:t>
      </w:r>
      <w:bookmarkEnd w:id="17"/>
    </w:p>
    <w:p w14:paraId="79E69E83" w14:textId="77777777" w:rsidR="00482975" w:rsidRPr="00482975" w:rsidRDefault="00482975" w:rsidP="00482975"/>
    <w:tbl>
      <w:tblPr>
        <w:tblStyle w:val="TableGrid"/>
        <w:tblW w:w="14742" w:type="dxa"/>
        <w:tblInd w:w="-5" w:type="dxa"/>
        <w:tblLook w:val="04A0" w:firstRow="1" w:lastRow="0" w:firstColumn="1" w:lastColumn="0" w:noHBand="0" w:noVBand="1"/>
      </w:tblPr>
      <w:tblGrid>
        <w:gridCol w:w="10065"/>
        <w:gridCol w:w="4677"/>
      </w:tblGrid>
      <w:tr w:rsidR="00E74CE2" w14:paraId="29AE5CE9" w14:textId="77777777" w:rsidTr="006E07FB">
        <w:trPr>
          <w:trHeight w:val="809"/>
        </w:trPr>
        <w:tc>
          <w:tcPr>
            <w:tcW w:w="10065" w:type="dxa"/>
            <w:shd w:val="clear" w:color="auto" w:fill="F2F2F2" w:themeFill="background1" w:themeFillShade="F2"/>
          </w:tcPr>
          <w:p w14:paraId="0FCE2668" w14:textId="77777777" w:rsidR="005B34BD" w:rsidRDefault="005B34BD" w:rsidP="0024116F">
            <w:pPr>
              <w:pStyle w:val="NoSpacing"/>
            </w:pPr>
          </w:p>
          <w:p w14:paraId="17983E8D" w14:textId="39A1D0A5" w:rsidR="00E74CE2" w:rsidRDefault="00E74CE2" w:rsidP="0024116F">
            <w:pPr>
              <w:pStyle w:val="NoSpacing"/>
            </w:pPr>
            <w:r>
              <w:t>KNOWLEDGE      Demonstrate good</w:t>
            </w:r>
            <w:r w:rsidRPr="0036044E">
              <w:t xml:space="preserve"> working and background knowledge </w:t>
            </w:r>
            <w:r>
              <w:t xml:space="preserve">(to appropriate level) </w:t>
            </w:r>
            <w:r w:rsidRPr="0036044E">
              <w:t>of:</w:t>
            </w:r>
            <w:r>
              <w:t xml:space="preserve"> </w:t>
            </w:r>
          </w:p>
        </w:tc>
        <w:tc>
          <w:tcPr>
            <w:tcW w:w="4677" w:type="dxa"/>
            <w:shd w:val="clear" w:color="auto" w:fill="F2F2F2" w:themeFill="background1" w:themeFillShade="F2"/>
          </w:tcPr>
          <w:p w14:paraId="74185238" w14:textId="77777777" w:rsidR="005B34BD" w:rsidRDefault="005B34BD" w:rsidP="0024116F">
            <w:pPr>
              <w:pStyle w:val="NoSpacing"/>
              <w:rPr>
                <w:b/>
              </w:rPr>
            </w:pPr>
          </w:p>
          <w:p w14:paraId="46A4571A" w14:textId="685DDDF1" w:rsidR="00E74CE2" w:rsidRDefault="00E74CE2" w:rsidP="0024116F">
            <w:pPr>
              <w:pStyle w:val="NoSpacing"/>
            </w:pPr>
            <w:r w:rsidRPr="00A31DB5">
              <w:rPr>
                <w:b/>
              </w:rPr>
              <w:t>Evidence</w:t>
            </w:r>
          </w:p>
        </w:tc>
      </w:tr>
      <w:tr w:rsidR="00E74CE2" w14:paraId="26B7FE20" w14:textId="77777777" w:rsidTr="0024116F">
        <w:tc>
          <w:tcPr>
            <w:tcW w:w="10065" w:type="dxa"/>
          </w:tcPr>
          <w:p w14:paraId="212F0FAB" w14:textId="52F5876A" w:rsidR="00E74CE2" w:rsidRPr="00A31DB5" w:rsidRDefault="00E74CE2">
            <w:pPr>
              <w:pStyle w:val="ListParagraph"/>
              <w:numPr>
                <w:ilvl w:val="0"/>
                <w:numId w:val="8"/>
              </w:numPr>
              <w:rPr>
                <w:rFonts w:cs="Calibri"/>
              </w:rPr>
            </w:pPr>
            <w:r w:rsidRPr="004D011B">
              <w:rPr>
                <w:rFonts w:ascii="Calibri" w:eastAsia="Calibri" w:hAnsi="Calibri" w:cs="Calibri"/>
              </w:rPr>
              <w:t>The multifactorial reasons for the increased risk of CVD amongst PLHIV</w:t>
            </w:r>
          </w:p>
        </w:tc>
        <w:tc>
          <w:tcPr>
            <w:tcW w:w="4677" w:type="dxa"/>
            <w:shd w:val="clear" w:color="auto" w:fill="auto"/>
          </w:tcPr>
          <w:p w14:paraId="2578CF5E" w14:textId="77777777" w:rsidR="00E74CE2" w:rsidRDefault="00E74CE2" w:rsidP="00E74CE2">
            <w:pPr>
              <w:pStyle w:val="NoSpacing"/>
            </w:pPr>
          </w:p>
        </w:tc>
      </w:tr>
      <w:tr w:rsidR="00E74CE2" w14:paraId="4EF86EDB" w14:textId="77777777" w:rsidTr="0024116F">
        <w:tc>
          <w:tcPr>
            <w:tcW w:w="10065" w:type="dxa"/>
          </w:tcPr>
          <w:p w14:paraId="7B9CD535" w14:textId="6919D539" w:rsidR="00E74CE2" w:rsidRPr="00A31DB5" w:rsidRDefault="00E74CE2">
            <w:pPr>
              <w:pStyle w:val="ListParagraph"/>
              <w:numPr>
                <w:ilvl w:val="0"/>
                <w:numId w:val="8"/>
              </w:numPr>
              <w:rPr>
                <w:rFonts w:cs="Calibri"/>
              </w:rPr>
            </w:pPr>
            <w:r w:rsidRPr="004D011B">
              <w:rPr>
                <w:rFonts w:ascii="Calibri" w:eastAsia="Calibri" w:hAnsi="Calibri" w:cs="Calibri"/>
              </w:rPr>
              <w:t>The tools available to estimate cardiovascular risk (e.g. QRISK, Framingham) and their limitations of use in PLHIV</w:t>
            </w:r>
          </w:p>
        </w:tc>
        <w:tc>
          <w:tcPr>
            <w:tcW w:w="4677" w:type="dxa"/>
            <w:shd w:val="clear" w:color="auto" w:fill="FFFFFF" w:themeFill="background1"/>
          </w:tcPr>
          <w:p w14:paraId="4AAC4C50" w14:textId="77777777" w:rsidR="00E74CE2" w:rsidRDefault="00E74CE2" w:rsidP="00E74CE2">
            <w:pPr>
              <w:pStyle w:val="NoSpacing"/>
            </w:pPr>
          </w:p>
        </w:tc>
      </w:tr>
      <w:tr w:rsidR="00E74CE2" w14:paraId="534E5D5A" w14:textId="77777777" w:rsidTr="0024116F">
        <w:tc>
          <w:tcPr>
            <w:tcW w:w="10065" w:type="dxa"/>
          </w:tcPr>
          <w:p w14:paraId="626E4872" w14:textId="1F15D223" w:rsidR="00E74CE2" w:rsidRDefault="00E74CE2">
            <w:pPr>
              <w:pStyle w:val="ListParagraph"/>
              <w:numPr>
                <w:ilvl w:val="0"/>
                <w:numId w:val="8"/>
              </w:numPr>
              <w:rPr>
                <w:rFonts w:cs="Calibri"/>
              </w:rPr>
            </w:pPr>
            <w:r w:rsidRPr="004D011B">
              <w:rPr>
                <w:rFonts w:ascii="Calibri" w:eastAsia="Calibri" w:hAnsi="Calibri" w:cs="Calibri"/>
              </w:rPr>
              <w:t>Potential interactions between certain lipid lowering medications and ARVs</w:t>
            </w:r>
          </w:p>
        </w:tc>
        <w:tc>
          <w:tcPr>
            <w:tcW w:w="4677" w:type="dxa"/>
            <w:shd w:val="clear" w:color="auto" w:fill="FFFFFF" w:themeFill="background1"/>
          </w:tcPr>
          <w:p w14:paraId="3BDE1EBF" w14:textId="77777777" w:rsidR="00E74CE2" w:rsidRDefault="00E74CE2" w:rsidP="00E74CE2">
            <w:pPr>
              <w:pStyle w:val="NoSpacing"/>
            </w:pPr>
          </w:p>
        </w:tc>
      </w:tr>
      <w:tr w:rsidR="00E74CE2" w14:paraId="51180729" w14:textId="77777777" w:rsidTr="005B34BD">
        <w:trPr>
          <w:trHeight w:val="894"/>
        </w:trPr>
        <w:tc>
          <w:tcPr>
            <w:tcW w:w="10065" w:type="dxa"/>
            <w:shd w:val="clear" w:color="auto" w:fill="F2F2F2" w:themeFill="background1" w:themeFillShade="F2"/>
          </w:tcPr>
          <w:p w14:paraId="61651AE3" w14:textId="77777777" w:rsidR="005B34BD" w:rsidRDefault="005B34BD" w:rsidP="0024116F">
            <w:pPr>
              <w:pStyle w:val="NoSpacing"/>
            </w:pPr>
          </w:p>
          <w:p w14:paraId="2BC1A093" w14:textId="7D026EE4" w:rsidR="00E74CE2" w:rsidRDefault="00E74CE2" w:rsidP="0024116F">
            <w:pPr>
              <w:pStyle w:val="NoSpacing"/>
            </w:pPr>
            <w:r>
              <w:t xml:space="preserve">SKILLS            Be able to (appropriate to level and experience): </w:t>
            </w:r>
          </w:p>
        </w:tc>
        <w:tc>
          <w:tcPr>
            <w:tcW w:w="4677" w:type="dxa"/>
            <w:shd w:val="clear" w:color="auto" w:fill="F2F2F2" w:themeFill="background1" w:themeFillShade="F2"/>
          </w:tcPr>
          <w:p w14:paraId="3E39F926" w14:textId="77777777" w:rsidR="00E74CE2" w:rsidRDefault="00E74CE2" w:rsidP="0024116F">
            <w:pPr>
              <w:pStyle w:val="NoSpacing"/>
            </w:pPr>
          </w:p>
        </w:tc>
      </w:tr>
      <w:tr w:rsidR="00E74CE2" w14:paraId="0F146877" w14:textId="77777777" w:rsidTr="0024116F">
        <w:tc>
          <w:tcPr>
            <w:tcW w:w="10065" w:type="dxa"/>
          </w:tcPr>
          <w:p w14:paraId="21D7A05D" w14:textId="39C32398" w:rsidR="00E74CE2" w:rsidRPr="00A31DB5" w:rsidRDefault="00E74CE2">
            <w:pPr>
              <w:pStyle w:val="ListParagraph"/>
              <w:numPr>
                <w:ilvl w:val="0"/>
                <w:numId w:val="8"/>
              </w:numPr>
              <w:rPr>
                <w:rFonts w:cs="Calibri"/>
              </w:rPr>
            </w:pPr>
            <w:r w:rsidRPr="00697F1D">
              <w:rPr>
                <w:rFonts w:ascii="Calibri" w:eastAsia="Calibri" w:hAnsi="Calibri" w:cs="Calibri"/>
              </w:rPr>
              <w:t>Carry out CVD risk assessment using most appropriate tool</w:t>
            </w:r>
            <w:r>
              <w:rPr>
                <w:rFonts w:ascii="Calibri" w:eastAsia="Calibri" w:hAnsi="Calibri" w:cs="Calibri"/>
              </w:rPr>
              <w:t xml:space="preserve"> </w:t>
            </w:r>
            <w:r w:rsidRPr="00697F1D">
              <w:rPr>
                <w:rFonts w:ascii="Calibri" w:eastAsia="Calibri" w:hAnsi="Calibri" w:cs="Calibri"/>
              </w:rPr>
              <w:t>or according to local guidelines</w:t>
            </w:r>
          </w:p>
        </w:tc>
        <w:tc>
          <w:tcPr>
            <w:tcW w:w="4677" w:type="dxa"/>
            <w:shd w:val="clear" w:color="auto" w:fill="auto"/>
          </w:tcPr>
          <w:p w14:paraId="682FDBE9" w14:textId="77777777" w:rsidR="00E74CE2" w:rsidRDefault="00E74CE2" w:rsidP="00E74CE2">
            <w:pPr>
              <w:pStyle w:val="NoSpacing"/>
            </w:pPr>
          </w:p>
        </w:tc>
      </w:tr>
      <w:tr w:rsidR="00E74CE2" w14:paraId="3D7775CC" w14:textId="77777777" w:rsidTr="0024116F">
        <w:tc>
          <w:tcPr>
            <w:tcW w:w="10065" w:type="dxa"/>
          </w:tcPr>
          <w:p w14:paraId="1CF86983" w14:textId="4A6F780D" w:rsidR="00E74CE2" w:rsidRPr="00A31DB5" w:rsidRDefault="00E74CE2">
            <w:pPr>
              <w:pStyle w:val="ListParagraph"/>
              <w:numPr>
                <w:ilvl w:val="0"/>
                <w:numId w:val="8"/>
              </w:numPr>
              <w:rPr>
                <w:rFonts w:cs="Calibri"/>
              </w:rPr>
            </w:pPr>
            <w:r w:rsidRPr="00697F1D">
              <w:rPr>
                <w:rFonts w:ascii="Calibri" w:eastAsia="Calibri" w:hAnsi="Calibri" w:cs="Calibri"/>
              </w:rPr>
              <w:t xml:space="preserve">Interpret lipid profiles in the context of overall CVD risk in PLHIV </w:t>
            </w:r>
          </w:p>
        </w:tc>
        <w:tc>
          <w:tcPr>
            <w:tcW w:w="4677" w:type="dxa"/>
            <w:shd w:val="clear" w:color="auto" w:fill="auto"/>
          </w:tcPr>
          <w:p w14:paraId="00F476A0" w14:textId="77777777" w:rsidR="00E74CE2" w:rsidRDefault="00E74CE2" w:rsidP="00E74CE2">
            <w:pPr>
              <w:pStyle w:val="NoSpacing"/>
            </w:pPr>
          </w:p>
        </w:tc>
      </w:tr>
      <w:tr w:rsidR="00E74CE2" w14:paraId="7879E6D0" w14:textId="77777777" w:rsidTr="0024116F">
        <w:tc>
          <w:tcPr>
            <w:tcW w:w="10065" w:type="dxa"/>
          </w:tcPr>
          <w:p w14:paraId="2AEEEA41" w14:textId="65CE06A8" w:rsidR="00E74CE2" w:rsidRPr="00A31DB5" w:rsidRDefault="00E74CE2">
            <w:pPr>
              <w:pStyle w:val="ListParagraph"/>
              <w:numPr>
                <w:ilvl w:val="0"/>
                <w:numId w:val="8"/>
              </w:numPr>
              <w:rPr>
                <w:rFonts w:cs="Calibri"/>
              </w:rPr>
            </w:pPr>
            <w:r w:rsidRPr="00697F1D">
              <w:rPr>
                <w:rFonts w:ascii="Calibri" w:eastAsia="Calibri" w:hAnsi="Calibri" w:cs="Calibri"/>
              </w:rPr>
              <w:t>Develop patient centred dietetic care pla</w:t>
            </w:r>
            <w:r>
              <w:rPr>
                <w:rFonts w:ascii="Calibri" w:eastAsia="Calibri" w:hAnsi="Calibri" w:cs="Calibri"/>
              </w:rPr>
              <w:t>ns to modify CVD risk taking in</w:t>
            </w:r>
            <w:r w:rsidRPr="00697F1D">
              <w:rPr>
                <w:rFonts w:ascii="Calibri" w:eastAsia="Calibri" w:hAnsi="Calibri" w:cs="Calibri"/>
              </w:rPr>
              <w:t>to account HIV specific factors e.g. underweight with dyslipidaemia</w:t>
            </w:r>
          </w:p>
        </w:tc>
        <w:tc>
          <w:tcPr>
            <w:tcW w:w="4677" w:type="dxa"/>
            <w:shd w:val="clear" w:color="auto" w:fill="FFFFFF" w:themeFill="background1"/>
          </w:tcPr>
          <w:p w14:paraId="2A9D8812" w14:textId="77777777" w:rsidR="00E74CE2" w:rsidRDefault="00E74CE2" w:rsidP="00E74CE2">
            <w:pPr>
              <w:pStyle w:val="NoSpacing"/>
            </w:pPr>
          </w:p>
        </w:tc>
      </w:tr>
      <w:tr w:rsidR="00E74CE2" w14:paraId="1A7BF4BE" w14:textId="77777777" w:rsidTr="0024116F">
        <w:tc>
          <w:tcPr>
            <w:tcW w:w="10065" w:type="dxa"/>
          </w:tcPr>
          <w:p w14:paraId="7798B651" w14:textId="649B1361" w:rsidR="00E74CE2" w:rsidRPr="00A31DB5" w:rsidRDefault="00E74CE2">
            <w:pPr>
              <w:pStyle w:val="ListParagraph"/>
              <w:numPr>
                <w:ilvl w:val="0"/>
                <w:numId w:val="8"/>
              </w:numPr>
              <w:rPr>
                <w:rFonts w:cs="Calibri"/>
              </w:rPr>
            </w:pPr>
            <w:r w:rsidRPr="00697F1D">
              <w:rPr>
                <w:rFonts w:ascii="Calibri" w:eastAsia="Calibri" w:hAnsi="Calibri" w:cs="Calibri"/>
              </w:rPr>
              <w:t xml:space="preserve">Provide </w:t>
            </w:r>
            <w:r w:rsidR="00CC79C3">
              <w:rPr>
                <w:rFonts w:ascii="Calibri" w:eastAsia="Calibri" w:hAnsi="Calibri" w:cs="Calibri"/>
              </w:rPr>
              <w:t>evidence-based</w:t>
            </w:r>
            <w:r>
              <w:rPr>
                <w:rFonts w:ascii="Calibri" w:eastAsia="Calibri" w:hAnsi="Calibri" w:cs="Calibri"/>
              </w:rPr>
              <w:t xml:space="preserve"> advice and </w:t>
            </w:r>
            <w:r w:rsidRPr="00697F1D">
              <w:rPr>
                <w:rFonts w:ascii="Calibri" w:eastAsia="Calibri" w:hAnsi="Calibri" w:cs="Calibri"/>
              </w:rPr>
              <w:t>holistic care for those with raised CVD risk considering all modifiable lifestyle factors and referring on to other services e.g. exercise, smoking cessation, psychology</w:t>
            </w:r>
          </w:p>
        </w:tc>
        <w:tc>
          <w:tcPr>
            <w:tcW w:w="4677" w:type="dxa"/>
            <w:shd w:val="clear" w:color="auto" w:fill="FFFFFF" w:themeFill="background1"/>
          </w:tcPr>
          <w:p w14:paraId="38972BE6" w14:textId="77777777" w:rsidR="00E74CE2" w:rsidRDefault="00E74CE2" w:rsidP="00E74CE2">
            <w:pPr>
              <w:pStyle w:val="NoSpacing"/>
            </w:pPr>
          </w:p>
        </w:tc>
      </w:tr>
      <w:tr w:rsidR="00E74CE2" w14:paraId="68DF849E" w14:textId="77777777" w:rsidTr="0024116F">
        <w:tc>
          <w:tcPr>
            <w:tcW w:w="10065" w:type="dxa"/>
          </w:tcPr>
          <w:p w14:paraId="76FB406A" w14:textId="27FE8DD9" w:rsidR="00E74CE2" w:rsidRPr="004D011B" w:rsidRDefault="00E74CE2">
            <w:pPr>
              <w:pStyle w:val="ListParagraph"/>
              <w:numPr>
                <w:ilvl w:val="0"/>
                <w:numId w:val="8"/>
              </w:numPr>
              <w:rPr>
                <w:rFonts w:cs="Calibri"/>
              </w:rPr>
            </w:pPr>
            <w:r w:rsidRPr="00697F1D">
              <w:rPr>
                <w:rFonts w:ascii="Calibri" w:eastAsia="Calibri" w:hAnsi="Calibri" w:cs="Calibri"/>
              </w:rPr>
              <w:t>Liaise with clinicians regarding medication changes to reduce CVD risk</w:t>
            </w:r>
            <w:r>
              <w:rPr>
                <w:rFonts w:ascii="Calibri" w:eastAsia="Calibri" w:hAnsi="Calibri" w:cs="Calibri"/>
              </w:rPr>
              <w:t>,</w:t>
            </w:r>
            <w:r w:rsidRPr="00697F1D">
              <w:rPr>
                <w:rFonts w:ascii="Calibri" w:eastAsia="Calibri" w:hAnsi="Calibri" w:cs="Calibri"/>
              </w:rPr>
              <w:t xml:space="preserve"> for example</w:t>
            </w:r>
            <w:r>
              <w:rPr>
                <w:rFonts w:ascii="Calibri" w:eastAsia="Calibri" w:hAnsi="Calibri" w:cs="Calibri"/>
              </w:rPr>
              <w:t>,</w:t>
            </w:r>
            <w:r w:rsidRPr="00697F1D">
              <w:rPr>
                <w:rFonts w:ascii="Calibri" w:eastAsia="Calibri" w:hAnsi="Calibri" w:cs="Calibri"/>
              </w:rPr>
              <w:t xml:space="preserve"> initiation of lipid lowering therapy or changes to ARVs to more lipid friendly combinations</w:t>
            </w:r>
            <w:r w:rsidR="00946E50">
              <w:rPr>
                <w:rFonts w:ascii="Calibri" w:eastAsia="Calibri" w:hAnsi="Calibri" w:cs="Calibri"/>
                <w:vertAlign w:val="superscript"/>
              </w:rPr>
              <w:t>(9)</w:t>
            </w:r>
          </w:p>
        </w:tc>
        <w:tc>
          <w:tcPr>
            <w:tcW w:w="4677" w:type="dxa"/>
            <w:shd w:val="clear" w:color="auto" w:fill="FFFFFF" w:themeFill="background1"/>
          </w:tcPr>
          <w:p w14:paraId="1FE32A6E" w14:textId="77777777" w:rsidR="00E74CE2" w:rsidRDefault="00E74CE2" w:rsidP="00E74CE2">
            <w:pPr>
              <w:pStyle w:val="NoSpacing"/>
            </w:pPr>
          </w:p>
        </w:tc>
      </w:tr>
    </w:tbl>
    <w:p w14:paraId="10060A61" w14:textId="0CB56050" w:rsidR="00482975" w:rsidRDefault="00482975">
      <w:pPr>
        <w:spacing w:after="200" w:line="276" w:lineRule="auto"/>
        <w:rPr>
          <w:rFonts w:asciiTheme="majorHAnsi" w:eastAsiaTheme="majorEastAsia" w:hAnsiTheme="majorHAnsi" w:cstheme="majorBidi"/>
          <w:color w:val="243F60" w:themeColor="accent1" w:themeShade="7F"/>
          <w:sz w:val="24"/>
          <w:szCs w:val="24"/>
        </w:rPr>
      </w:pPr>
      <w:r>
        <w:br w:type="page"/>
      </w:r>
    </w:p>
    <w:p w14:paraId="244ECD0F" w14:textId="35837AAD" w:rsidR="00E74CE2" w:rsidRPr="003456CC" w:rsidRDefault="00E74CE2">
      <w:pPr>
        <w:pStyle w:val="Heading3"/>
        <w:numPr>
          <w:ilvl w:val="2"/>
          <w:numId w:val="19"/>
        </w:numPr>
        <w:rPr>
          <w:rStyle w:val="IntenseEmphasis"/>
        </w:rPr>
      </w:pPr>
      <w:bookmarkStart w:id="18" w:name="_Toc125983090"/>
      <w:r w:rsidRPr="003456CC">
        <w:rPr>
          <w:rStyle w:val="IntenseEmphasis"/>
        </w:rPr>
        <w:t>Liver Disease</w:t>
      </w:r>
      <w:bookmarkEnd w:id="18"/>
    </w:p>
    <w:p w14:paraId="2872EAC5" w14:textId="77777777" w:rsidR="00482975" w:rsidRPr="00482975" w:rsidRDefault="00482975" w:rsidP="00482975"/>
    <w:tbl>
      <w:tblPr>
        <w:tblStyle w:val="TableGrid"/>
        <w:tblW w:w="14742" w:type="dxa"/>
        <w:tblInd w:w="-5" w:type="dxa"/>
        <w:tblLook w:val="04A0" w:firstRow="1" w:lastRow="0" w:firstColumn="1" w:lastColumn="0" w:noHBand="0" w:noVBand="1"/>
      </w:tblPr>
      <w:tblGrid>
        <w:gridCol w:w="10065"/>
        <w:gridCol w:w="4677"/>
      </w:tblGrid>
      <w:tr w:rsidR="00E74CE2" w14:paraId="7163CC3D" w14:textId="77777777" w:rsidTr="005B34BD">
        <w:trPr>
          <w:trHeight w:val="978"/>
        </w:trPr>
        <w:tc>
          <w:tcPr>
            <w:tcW w:w="10065" w:type="dxa"/>
            <w:shd w:val="clear" w:color="auto" w:fill="F2F2F2" w:themeFill="background1" w:themeFillShade="F2"/>
          </w:tcPr>
          <w:p w14:paraId="3D8D7BEF" w14:textId="77777777" w:rsidR="005B34BD" w:rsidRDefault="005B34BD" w:rsidP="0024116F">
            <w:pPr>
              <w:pStyle w:val="NoSpacing"/>
            </w:pPr>
          </w:p>
          <w:p w14:paraId="7E1D7344" w14:textId="665DF504" w:rsidR="00E74CE2" w:rsidRDefault="00E74CE2" w:rsidP="0024116F">
            <w:pPr>
              <w:pStyle w:val="NoSpacing"/>
            </w:pPr>
            <w:r>
              <w:t>KNOWLEDGE      Demonstrate good</w:t>
            </w:r>
            <w:r w:rsidRPr="0036044E">
              <w:t xml:space="preserve"> working and background knowledge </w:t>
            </w:r>
            <w:r>
              <w:t xml:space="preserve">(to appropriate level) </w:t>
            </w:r>
            <w:r w:rsidRPr="0036044E">
              <w:t>of:</w:t>
            </w:r>
            <w:r>
              <w:t xml:space="preserve"> </w:t>
            </w:r>
          </w:p>
        </w:tc>
        <w:tc>
          <w:tcPr>
            <w:tcW w:w="4677" w:type="dxa"/>
            <w:shd w:val="clear" w:color="auto" w:fill="F2F2F2" w:themeFill="background1" w:themeFillShade="F2"/>
          </w:tcPr>
          <w:p w14:paraId="7E9D01E0" w14:textId="77777777" w:rsidR="005B34BD" w:rsidRDefault="005B34BD" w:rsidP="0024116F">
            <w:pPr>
              <w:pStyle w:val="NoSpacing"/>
              <w:rPr>
                <w:b/>
              </w:rPr>
            </w:pPr>
          </w:p>
          <w:p w14:paraId="4ADBE818" w14:textId="24CD9A16" w:rsidR="00E74CE2" w:rsidRDefault="00E74CE2" w:rsidP="0024116F">
            <w:pPr>
              <w:pStyle w:val="NoSpacing"/>
            </w:pPr>
            <w:r w:rsidRPr="00A31DB5">
              <w:rPr>
                <w:b/>
              </w:rPr>
              <w:t>Evidence</w:t>
            </w:r>
          </w:p>
        </w:tc>
      </w:tr>
      <w:tr w:rsidR="00E74CE2" w14:paraId="791C47FC" w14:textId="77777777" w:rsidTr="0024116F">
        <w:tc>
          <w:tcPr>
            <w:tcW w:w="10065" w:type="dxa"/>
          </w:tcPr>
          <w:p w14:paraId="1C9F331A" w14:textId="09BCAE93" w:rsidR="00E74CE2" w:rsidRPr="00A31DB5" w:rsidRDefault="00E74CE2">
            <w:pPr>
              <w:pStyle w:val="ListParagraph"/>
              <w:numPr>
                <w:ilvl w:val="0"/>
                <w:numId w:val="8"/>
              </w:numPr>
              <w:rPr>
                <w:rFonts w:cs="Calibri"/>
              </w:rPr>
            </w:pPr>
            <w:r w:rsidRPr="004D011B">
              <w:rPr>
                <w:rFonts w:eastAsia="Calibri" w:cstheme="minorHAnsi"/>
              </w:rPr>
              <w:t xml:space="preserve">The multifactorial reasons for the increased risk </w:t>
            </w:r>
            <w:r w:rsidRPr="004D011B">
              <w:rPr>
                <w:rFonts w:cstheme="minorHAnsi"/>
              </w:rPr>
              <w:t xml:space="preserve">of non-alcoholic fatty liver disease (NAFLD), non-alcoholic steatohepatitis (NASH) and cirrhosis amongst PLHIV </w:t>
            </w:r>
          </w:p>
        </w:tc>
        <w:tc>
          <w:tcPr>
            <w:tcW w:w="4677" w:type="dxa"/>
            <w:shd w:val="clear" w:color="auto" w:fill="auto"/>
          </w:tcPr>
          <w:p w14:paraId="22783880" w14:textId="77777777" w:rsidR="00E74CE2" w:rsidRDefault="00E74CE2" w:rsidP="00E74CE2">
            <w:pPr>
              <w:pStyle w:val="NoSpacing"/>
            </w:pPr>
          </w:p>
        </w:tc>
      </w:tr>
      <w:tr w:rsidR="00E74CE2" w14:paraId="2AD52346" w14:textId="77777777" w:rsidTr="0024116F">
        <w:tc>
          <w:tcPr>
            <w:tcW w:w="10065" w:type="dxa"/>
          </w:tcPr>
          <w:p w14:paraId="4D02854F" w14:textId="653E942A" w:rsidR="00E74CE2" w:rsidRPr="00A31DB5" w:rsidRDefault="00E74CE2">
            <w:pPr>
              <w:pStyle w:val="ListParagraph"/>
              <w:numPr>
                <w:ilvl w:val="0"/>
                <w:numId w:val="8"/>
              </w:numPr>
              <w:rPr>
                <w:rFonts w:cs="Calibri"/>
              </w:rPr>
            </w:pPr>
            <w:r w:rsidRPr="004D011B">
              <w:rPr>
                <w:rFonts w:cstheme="minorHAnsi"/>
              </w:rPr>
              <w:t xml:space="preserve">The significance of waist circumference in addition to use of BMI in detecting risk for NAFLD and situations where limitations in use apply </w:t>
            </w:r>
          </w:p>
        </w:tc>
        <w:tc>
          <w:tcPr>
            <w:tcW w:w="4677" w:type="dxa"/>
            <w:shd w:val="clear" w:color="auto" w:fill="FFFFFF" w:themeFill="background1"/>
          </w:tcPr>
          <w:p w14:paraId="74C0FDCA" w14:textId="77777777" w:rsidR="00E74CE2" w:rsidRDefault="00E74CE2" w:rsidP="00E74CE2">
            <w:pPr>
              <w:pStyle w:val="NoSpacing"/>
            </w:pPr>
          </w:p>
        </w:tc>
      </w:tr>
      <w:tr w:rsidR="00E74CE2" w14:paraId="345B05EA" w14:textId="77777777" w:rsidTr="0024116F">
        <w:tc>
          <w:tcPr>
            <w:tcW w:w="10065" w:type="dxa"/>
          </w:tcPr>
          <w:p w14:paraId="4DB6F5B1" w14:textId="6834A128" w:rsidR="00E74CE2" w:rsidRDefault="00E74CE2">
            <w:pPr>
              <w:pStyle w:val="ListParagraph"/>
              <w:numPr>
                <w:ilvl w:val="0"/>
                <w:numId w:val="8"/>
              </w:numPr>
              <w:rPr>
                <w:rFonts w:cs="Calibri"/>
              </w:rPr>
            </w:pPr>
            <w:r w:rsidRPr="004D011B">
              <w:rPr>
                <w:rFonts w:cstheme="minorHAnsi"/>
              </w:rPr>
              <w:t xml:space="preserve">The diagnostic tools for NAFLD </w:t>
            </w:r>
            <w:r w:rsidR="00946E50">
              <w:rPr>
                <w:rFonts w:cstheme="minorHAnsi"/>
                <w:vertAlign w:val="superscript"/>
              </w:rPr>
              <w:t>(9)</w:t>
            </w:r>
          </w:p>
        </w:tc>
        <w:tc>
          <w:tcPr>
            <w:tcW w:w="4677" w:type="dxa"/>
            <w:shd w:val="clear" w:color="auto" w:fill="FFFFFF" w:themeFill="background1"/>
          </w:tcPr>
          <w:p w14:paraId="7EFC6927" w14:textId="77777777" w:rsidR="00E74CE2" w:rsidRDefault="00E74CE2" w:rsidP="00E74CE2">
            <w:pPr>
              <w:pStyle w:val="NoSpacing"/>
            </w:pPr>
          </w:p>
        </w:tc>
      </w:tr>
      <w:tr w:rsidR="00E74CE2" w14:paraId="21758777" w14:textId="77777777" w:rsidTr="0024116F">
        <w:trPr>
          <w:trHeight w:val="718"/>
        </w:trPr>
        <w:tc>
          <w:tcPr>
            <w:tcW w:w="10065" w:type="dxa"/>
          </w:tcPr>
          <w:p w14:paraId="22FEA884" w14:textId="6A778AD9" w:rsidR="00E74CE2" w:rsidRDefault="00E74CE2">
            <w:pPr>
              <w:pStyle w:val="NoSpacing"/>
              <w:numPr>
                <w:ilvl w:val="0"/>
                <w:numId w:val="8"/>
              </w:numPr>
            </w:pPr>
            <w:r>
              <w:rPr>
                <w:rFonts w:cstheme="minorHAnsi"/>
              </w:rPr>
              <w:t>Nutritional, lifestyle and medical strategies for management of NAFLD</w:t>
            </w:r>
          </w:p>
        </w:tc>
        <w:tc>
          <w:tcPr>
            <w:tcW w:w="4677" w:type="dxa"/>
          </w:tcPr>
          <w:p w14:paraId="1E93A6DF" w14:textId="77777777" w:rsidR="00E74CE2" w:rsidRDefault="00E74CE2" w:rsidP="00E74CE2">
            <w:pPr>
              <w:pStyle w:val="NoSpacing"/>
            </w:pPr>
          </w:p>
        </w:tc>
      </w:tr>
    </w:tbl>
    <w:p w14:paraId="5A6E39F2" w14:textId="5DB57DD2" w:rsidR="00482975" w:rsidRDefault="00482975" w:rsidP="00E74CE2"/>
    <w:p w14:paraId="16A8CFBC" w14:textId="77777777" w:rsidR="00482975" w:rsidRDefault="00482975">
      <w:pPr>
        <w:spacing w:after="200" w:line="276" w:lineRule="auto"/>
      </w:pPr>
      <w:r>
        <w:br w:type="page"/>
      </w:r>
    </w:p>
    <w:p w14:paraId="207904AF" w14:textId="77777777" w:rsidR="00E74CE2" w:rsidRDefault="00E74CE2" w:rsidP="00E74CE2"/>
    <w:p w14:paraId="56E3A8EE" w14:textId="52C8E24F" w:rsidR="00144AF6" w:rsidRPr="003456CC" w:rsidRDefault="00E74CE2">
      <w:pPr>
        <w:pStyle w:val="Heading3"/>
        <w:numPr>
          <w:ilvl w:val="2"/>
          <w:numId w:val="19"/>
        </w:numPr>
        <w:rPr>
          <w:rStyle w:val="IntenseEmphasis"/>
        </w:rPr>
      </w:pPr>
      <w:bookmarkStart w:id="19" w:name="_Toc125983091"/>
      <w:r w:rsidRPr="003456CC">
        <w:rPr>
          <w:rStyle w:val="IntenseEmphasis"/>
        </w:rPr>
        <w:t>Malnutrition</w:t>
      </w:r>
      <w:bookmarkEnd w:id="19"/>
    </w:p>
    <w:p w14:paraId="7F9EDDF1" w14:textId="77777777" w:rsidR="00482975" w:rsidRPr="00482975" w:rsidRDefault="00482975" w:rsidP="00482975"/>
    <w:tbl>
      <w:tblPr>
        <w:tblStyle w:val="TableGrid"/>
        <w:tblW w:w="14737" w:type="dxa"/>
        <w:tblLook w:val="04A0" w:firstRow="1" w:lastRow="0" w:firstColumn="1" w:lastColumn="0" w:noHBand="0" w:noVBand="1"/>
      </w:tblPr>
      <w:tblGrid>
        <w:gridCol w:w="10060"/>
        <w:gridCol w:w="4677"/>
      </w:tblGrid>
      <w:tr w:rsidR="00E74CE2" w14:paraId="3CAD70D0" w14:textId="77777777" w:rsidTr="006E07FB">
        <w:trPr>
          <w:trHeight w:val="951"/>
        </w:trPr>
        <w:tc>
          <w:tcPr>
            <w:tcW w:w="10060" w:type="dxa"/>
            <w:shd w:val="clear" w:color="auto" w:fill="F2F2F2" w:themeFill="background1" w:themeFillShade="F2"/>
          </w:tcPr>
          <w:p w14:paraId="79CE5783" w14:textId="77777777" w:rsidR="005B34BD" w:rsidRDefault="005B34BD" w:rsidP="00E74CE2"/>
          <w:p w14:paraId="7C85FF29" w14:textId="1A6A4463" w:rsidR="00E74CE2" w:rsidRDefault="00E74CE2" w:rsidP="00E74CE2">
            <w:r>
              <w:t>KNOWLEDGE      Demonstrate good</w:t>
            </w:r>
            <w:r w:rsidRPr="0036044E">
              <w:t xml:space="preserve"> working and background knowledge </w:t>
            </w:r>
            <w:r>
              <w:t xml:space="preserve">(to appropriate level) </w:t>
            </w:r>
            <w:r w:rsidRPr="0036044E">
              <w:t>of:</w:t>
            </w:r>
            <w:r>
              <w:t xml:space="preserve"> </w:t>
            </w:r>
          </w:p>
        </w:tc>
        <w:tc>
          <w:tcPr>
            <w:tcW w:w="4677" w:type="dxa"/>
            <w:shd w:val="clear" w:color="auto" w:fill="F2F2F2" w:themeFill="background1" w:themeFillShade="F2"/>
          </w:tcPr>
          <w:p w14:paraId="6A416703" w14:textId="77777777" w:rsidR="005B34BD" w:rsidRDefault="005B34BD" w:rsidP="00E74CE2">
            <w:pPr>
              <w:rPr>
                <w:b/>
              </w:rPr>
            </w:pPr>
          </w:p>
          <w:p w14:paraId="3B9ACCBE" w14:textId="431A7D30" w:rsidR="00E74CE2" w:rsidRDefault="00E74CE2" w:rsidP="00E74CE2">
            <w:r w:rsidRPr="00A31DB5">
              <w:rPr>
                <w:b/>
              </w:rPr>
              <w:t>Evidence</w:t>
            </w:r>
          </w:p>
        </w:tc>
      </w:tr>
      <w:tr w:rsidR="00E74CE2" w14:paraId="16143331" w14:textId="77777777" w:rsidTr="00E74CE2">
        <w:tc>
          <w:tcPr>
            <w:tcW w:w="10060" w:type="dxa"/>
          </w:tcPr>
          <w:p w14:paraId="64CDA298" w14:textId="194FDDC5" w:rsidR="00E74CE2" w:rsidRDefault="00E74CE2">
            <w:pPr>
              <w:pStyle w:val="ListParagraph"/>
              <w:numPr>
                <w:ilvl w:val="0"/>
                <w:numId w:val="8"/>
              </w:numPr>
            </w:pPr>
            <w:r w:rsidRPr="00E74CE2">
              <w:rPr>
                <w:rFonts w:cs="Calibri"/>
              </w:rPr>
              <w:t>The causes of malnutrition in PLHIV and specific factors which may contribute to reduced nutritional intake or vitamin and mineral deficiencies</w:t>
            </w:r>
          </w:p>
        </w:tc>
        <w:tc>
          <w:tcPr>
            <w:tcW w:w="4677" w:type="dxa"/>
          </w:tcPr>
          <w:p w14:paraId="3FE3828D" w14:textId="77777777" w:rsidR="00E74CE2" w:rsidRDefault="00E74CE2" w:rsidP="00E74CE2"/>
        </w:tc>
      </w:tr>
      <w:tr w:rsidR="00E74CE2" w14:paraId="37C2EFD8" w14:textId="77777777" w:rsidTr="00E74CE2">
        <w:tc>
          <w:tcPr>
            <w:tcW w:w="10060" w:type="dxa"/>
          </w:tcPr>
          <w:p w14:paraId="1FFC9BB8" w14:textId="27FB7E99" w:rsidR="00E74CE2" w:rsidRDefault="00E74CE2">
            <w:pPr>
              <w:pStyle w:val="ListParagraph"/>
              <w:numPr>
                <w:ilvl w:val="0"/>
                <w:numId w:val="8"/>
              </w:numPr>
            </w:pPr>
            <w:r w:rsidRPr="00E74CE2">
              <w:rPr>
                <w:rFonts w:cs="Calibri"/>
              </w:rPr>
              <w:t>Nutritional requirements in PLHIV and effect opportunistic infections (OIs) and low CD4 count can have on these</w:t>
            </w:r>
          </w:p>
        </w:tc>
        <w:tc>
          <w:tcPr>
            <w:tcW w:w="4677" w:type="dxa"/>
          </w:tcPr>
          <w:p w14:paraId="38EEAF2C" w14:textId="77777777" w:rsidR="00E74CE2" w:rsidRDefault="00E74CE2" w:rsidP="00E74CE2"/>
        </w:tc>
      </w:tr>
      <w:tr w:rsidR="00E74CE2" w14:paraId="0B3272F3" w14:textId="77777777" w:rsidTr="00E74CE2">
        <w:tc>
          <w:tcPr>
            <w:tcW w:w="10060" w:type="dxa"/>
          </w:tcPr>
          <w:p w14:paraId="4C780889" w14:textId="7634779D" w:rsidR="00E74CE2" w:rsidRDefault="00E74CE2">
            <w:pPr>
              <w:pStyle w:val="ListParagraph"/>
              <w:numPr>
                <w:ilvl w:val="0"/>
                <w:numId w:val="8"/>
              </w:numPr>
            </w:pPr>
            <w:r w:rsidRPr="00E74CE2">
              <w:rPr>
                <w:rFonts w:cs="Calibri"/>
              </w:rPr>
              <w:t>Absorption requirements for certain ARVs e.g. spacing from nutritional supplements/ enteral feeds or taking with sufficient caloric/fat intake</w:t>
            </w:r>
          </w:p>
        </w:tc>
        <w:tc>
          <w:tcPr>
            <w:tcW w:w="4677" w:type="dxa"/>
          </w:tcPr>
          <w:p w14:paraId="33EC4C28" w14:textId="77777777" w:rsidR="00E74CE2" w:rsidRDefault="00E74CE2" w:rsidP="00E74CE2"/>
        </w:tc>
      </w:tr>
      <w:tr w:rsidR="00E74CE2" w14:paraId="18B6C59B" w14:textId="77777777" w:rsidTr="00E74CE2">
        <w:tc>
          <w:tcPr>
            <w:tcW w:w="10060" w:type="dxa"/>
          </w:tcPr>
          <w:p w14:paraId="297094A4" w14:textId="55DDBF8A" w:rsidR="00E74CE2" w:rsidRDefault="00E74CE2">
            <w:pPr>
              <w:pStyle w:val="ListParagraph"/>
              <w:numPr>
                <w:ilvl w:val="0"/>
                <w:numId w:val="8"/>
              </w:numPr>
            </w:pPr>
            <w:r w:rsidRPr="00E74CE2">
              <w:rPr>
                <w:rFonts w:cs="Calibri"/>
              </w:rPr>
              <w:t>HIV and OI associated effects on the gut, its absorptive capacity and relevance for preferred routes of nutritional support</w:t>
            </w:r>
          </w:p>
        </w:tc>
        <w:tc>
          <w:tcPr>
            <w:tcW w:w="4677" w:type="dxa"/>
          </w:tcPr>
          <w:p w14:paraId="5F03328A" w14:textId="77777777" w:rsidR="00E74CE2" w:rsidRDefault="00E74CE2" w:rsidP="00E74CE2"/>
        </w:tc>
      </w:tr>
      <w:tr w:rsidR="00E74CE2" w14:paraId="491E5297" w14:textId="77777777" w:rsidTr="006E07FB">
        <w:trPr>
          <w:trHeight w:val="908"/>
        </w:trPr>
        <w:tc>
          <w:tcPr>
            <w:tcW w:w="10060" w:type="dxa"/>
            <w:shd w:val="clear" w:color="auto" w:fill="F2F2F2" w:themeFill="background1" w:themeFillShade="F2"/>
          </w:tcPr>
          <w:p w14:paraId="302629B3" w14:textId="77777777" w:rsidR="005B34BD" w:rsidRDefault="005B34BD" w:rsidP="00E74CE2"/>
          <w:p w14:paraId="36C78D3F" w14:textId="7C003CB7" w:rsidR="00E74CE2" w:rsidRDefault="00E74CE2" w:rsidP="00E74CE2">
            <w:r>
              <w:t>SKILLS            Be able to (appropriate to level and experience):</w:t>
            </w:r>
          </w:p>
        </w:tc>
        <w:tc>
          <w:tcPr>
            <w:tcW w:w="4677" w:type="dxa"/>
            <w:shd w:val="clear" w:color="auto" w:fill="F2F2F2" w:themeFill="background1" w:themeFillShade="F2"/>
          </w:tcPr>
          <w:p w14:paraId="20827DBC" w14:textId="77777777" w:rsidR="00E74CE2" w:rsidRDefault="00E74CE2" w:rsidP="00E74CE2"/>
        </w:tc>
      </w:tr>
      <w:tr w:rsidR="00E74CE2" w14:paraId="5FDE6207" w14:textId="77777777" w:rsidTr="00E74CE2">
        <w:tc>
          <w:tcPr>
            <w:tcW w:w="10060" w:type="dxa"/>
          </w:tcPr>
          <w:p w14:paraId="2B5334A9" w14:textId="3EDAC1D0" w:rsidR="00E74CE2" w:rsidRDefault="00E74CE2" w:rsidP="00CC79C3">
            <w:pPr>
              <w:pStyle w:val="ListParagraph"/>
              <w:numPr>
                <w:ilvl w:val="0"/>
                <w:numId w:val="9"/>
              </w:numPr>
              <w:spacing w:after="0" w:line="240" w:lineRule="auto"/>
            </w:pPr>
            <w:r w:rsidRPr="004D011B">
              <w:rPr>
                <w:rFonts w:cs="Calibri"/>
              </w:rPr>
              <w:t>Use Subjective Global Assessment to identify cases of malnutrition in PLHIV</w:t>
            </w:r>
          </w:p>
        </w:tc>
        <w:tc>
          <w:tcPr>
            <w:tcW w:w="4677" w:type="dxa"/>
          </w:tcPr>
          <w:p w14:paraId="32180E03" w14:textId="77777777" w:rsidR="00E74CE2" w:rsidRDefault="00E74CE2" w:rsidP="00E74CE2"/>
        </w:tc>
      </w:tr>
      <w:tr w:rsidR="00E74CE2" w14:paraId="7D6557E3" w14:textId="77777777" w:rsidTr="00E74CE2">
        <w:tc>
          <w:tcPr>
            <w:tcW w:w="10060" w:type="dxa"/>
          </w:tcPr>
          <w:p w14:paraId="716397AF" w14:textId="759F134A" w:rsidR="00E74CE2" w:rsidRDefault="00E74CE2">
            <w:pPr>
              <w:pStyle w:val="ListParagraph"/>
              <w:numPr>
                <w:ilvl w:val="0"/>
                <w:numId w:val="9"/>
              </w:numPr>
            </w:pPr>
            <w:r w:rsidRPr="00E74CE2">
              <w:rPr>
                <w:rFonts w:cs="Calibri"/>
              </w:rPr>
              <w:t xml:space="preserve">Tailor nutritional support to relevant symptoms e.g. nausea, GI disturbance, anorexia </w:t>
            </w:r>
          </w:p>
        </w:tc>
        <w:tc>
          <w:tcPr>
            <w:tcW w:w="4677" w:type="dxa"/>
          </w:tcPr>
          <w:p w14:paraId="14BEF90E" w14:textId="77777777" w:rsidR="00E74CE2" w:rsidRDefault="00E74CE2" w:rsidP="00E74CE2"/>
        </w:tc>
      </w:tr>
      <w:tr w:rsidR="00E74CE2" w14:paraId="2B829992" w14:textId="77777777" w:rsidTr="00E74CE2">
        <w:tc>
          <w:tcPr>
            <w:tcW w:w="10060" w:type="dxa"/>
          </w:tcPr>
          <w:p w14:paraId="39A87CFC" w14:textId="72B3EFC5" w:rsidR="00E74CE2" w:rsidRDefault="00E74CE2">
            <w:pPr>
              <w:pStyle w:val="ListParagraph"/>
              <w:numPr>
                <w:ilvl w:val="0"/>
                <w:numId w:val="9"/>
              </w:numPr>
            </w:pPr>
            <w:r w:rsidRPr="00E74CE2">
              <w:rPr>
                <w:rFonts w:cs="Calibri"/>
              </w:rPr>
              <w:t>Work with the MDT to identify HIV associated gastrointestinal malabsorption, requesting appropriate testing where relevant</w:t>
            </w:r>
          </w:p>
        </w:tc>
        <w:tc>
          <w:tcPr>
            <w:tcW w:w="4677" w:type="dxa"/>
          </w:tcPr>
          <w:p w14:paraId="0FCFA1E5" w14:textId="77777777" w:rsidR="00E74CE2" w:rsidRDefault="00E74CE2" w:rsidP="00E74CE2"/>
        </w:tc>
      </w:tr>
    </w:tbl>
    <w:p w14:paraId="533E00C5" w14:textId="597C75F3" w:rsidR="006E07FB" w:rsidRDefault="006E07FB" w:rsidP="00E74CE2"/>
    <w:p w14:paraId="16C5DC32" w14:textId="77777777" w:rsidR="00764536" w:rsidRDefault="00764536" w:rsidP="00E74CE2"/>
    <w:p w14:paraId="6DD64079" w14:textId="72F53464" w:rsidR="00E74CE2" w:rsidRPr="003456CC" w:rsidRDefault="006E07FB">
      <w:pPr>
        <w:pStyle w:val="Heading3"/>
        <w:numPr>
          <w:ilvl w:val="2"/>
          <w:numId w:val="19"/>
        </w:numPr>
        <w:rPr>
          <w:rStyle w:val="IntenseEmphasis"/>
        </w:rPr>
      </w:pPr>
      <w:bookmarkStart w:id="20" w:name="_Toc125983092"/>
      <w:r w:rsidRPr="003456CC">
        <w:rPr>
          <w:rStyle w:val="IntenseEmphasis"/>
        </w:rPr>
        <w:t>Bone Health</w:t>
      </w:r>
      <w:bookmarkEnd w:id="20"/>
    </w:p>
    <w:p w14:paraId="43E7D298" w14:textId="77777777" w:rsidR="006E07FB" w:rsidRPr="006E07FB" w:rsidRDefault="006E07FB" w:rsidP="006E07FB"/>
    <w:tbl>
      <w:tblPr>
        <w:tblStyle w:val="TableGrid"/>
        <w:tblW w:w="14737" w:type="dxa"/>
        <w:tblLook w:val="04A0" w:firstRow="1" w:lastRow="0" w:firstColumn="1" w:lastColumn="0" w:noHBand="0" w:noVBand="1"/>
      </w:tblPr>
      <w:tblGrid>
        <w:gridCol w:w="10060"/>
        <w:gridCol w:w="4677"/>
      </w:tblGrid>
      <w:tr w:rsidR="006E07FB" w14:paraId="18B5C7C2" w14:textId="77777777" w:rsidTr="0024116F">
        <w:trPr>
          <w:trHeight w:val="951"/>
        </w:trPr>
        <w:tc>
          <w:tcPr>
            <w:tcW w:w="10060" w:type="dxa"/>
            <w:shd w:val="clear" w:color="auto" w:fill="F2F2F2" w:themeFill="background1" w:themeFillShade="F2"/>
          </w:tcPr>
          <w:p w14:paraId="7B5B0CF8" w14:textId="77777777" w:rsidR="005B34BD" w:rsidRDefault="005B34BD" w:rsidP="0024116F"/>
          <w:p w14:paraId="78B1A7FF" w14:textId="6A19D05A" w:rsidR="006E07FB" w:rsidRDefault="006E07FB" w:rsidP="0024116F">
            <w:r>
              <w:t>KNOWLEDGE      Demonstrate good</w:t>
            </w:r>
            <w:r w:rsidRPr="0036044E">
              <w:t xml:space="preserve"> working and background knowledge </w:t>
            </w:r>
            <w:r>
              <w:t xml:space="preserve">(to appropriate level) </w:t>
            </w:r>
            <w:r w:rsidRPr="0036044E">
              <w:t>of:</w:t>
            </w:r>
            <w:r>
              <w:t xml:space="preserve"> </w:t>
            </w:r>
          </w:p>
        </w:tc>
        <w:tc>
          <w:tcPr>
            <w:tcW w:w="4677" w:type="dxa"/>
            <w:shd w:val="clear" w:color="auto" w:fill="F2F2F2" w:themeFill="background1" w:themeFillShade="F2"/>
          </w:tcPr>
          <w:p w14:paraId="0C8481AE" w14:textId="77777777" w:rsidR="005B34BD" w:rsidRDefault="005B34BD" w:rsidP="0024116F">
            <w:pPr>
              <w:rPr>
                <w:b/>
              </w:rPr>
            </w:pPr>
          </w:p>
          <w:p w14:paraId="5286CEBB" w14:textId="4DE95C3D" w:rsidR="006E07FB" w:rsidRDefault="006E07FB" w:rsidP="0024116F">
            <w:r w:rsidRPr="00A31DB5">
              <w:rPr>
                <w:b/>
              </w:rPr>
              <w:t>Evidence</w:t>
            </w:r>
          </w:p>
        </w:tc>
      </w:tr>
      <w:tr w:rsidR="006E07FB" w14:paraId="7979A921" w14:textId="77777777" w:rsidTr="0024116F">
        <w:tc>
          <w:tcPr>
            <w:tcW w:w="10060" w:type="dxa"/>
          </w:tcPr>
          <w:p w14:paraId="10BD1F91" w14:textId="1C705EC9" w:rsidR="006E07FB" w:rsidRPr="006E07FB" w:rsidRDefault="006E07FB">
            <w:pPr>
              <w:pStyle w:val="ListParagraph"/>
              <w:numPr>
                <w:ilvl w:val="0"/>
                <w:numId w:val="8"/>
              </w:numPr>
            </w:pPr>
            <w:r w:rsidRPr="006E07FB">
              <w:rPr>
                <w:rFonts w:cs="Calibri"/>
              </w:rPr>
              <w:t xml:space="preserve">The multifactorial reasons for increased risk of low </w:t>
            </w:r>
            <w:r w:rsidR="003C7A9A">
              <w:rPr>
                <w:rFonts w:cs="Calibri"/>
              </w:rPr>
              <w:t>Bone Mineral Density (</w:t>
            </w:r>
            <w:r w:rsidRPr="006E07FB">
              <w:rPr>
                <w:rFonts w:cs="Calibri"/>
              </w:rPr>
              <w:t>BMD</w:t>
            </w:r>
            <w:r w:rsidR="003C7A9A">
              <w:rPr>
                <w:rFonts w:cs="Calibri"/>
              </w:rPr>
              <w:t>)</w:t>
            </w:r>
            <w:r w:rsidRPr="006E07FB">
              <w:rPr>
                <w:rFonts w:cs="Calibri"/>
              </w:rPr>
              <w:t xml:space="preserve"> in PLHIV </w:t>
            </w:r>
          </w:p>
        </w:tc>
        <w:tc>
          <w:tcPr>
            <w:tcW w:w="4677" w:type="dxa"/>
          </w:tcPr>
          <w:p w14:paraId="4270B918" w14:textId="77777777" w:rsidR="006E07FB" w:rsidRDefault="006E07FB" w:rsidP="006E07FB"/>
        </w:tc>
      </w:tr>
      <w:tr w:rsidR="006E07FB" w14:paraId="5497AD85" w14:textId="77777777" w:rsidTr="005B34BD">
        <w:trPr>
          <w:trHeight w:val="375"/>
        </w:trPr>
        <w:tc>
          <w:tcPr>
            <w:tcW w:w="10060" w:type="dxa"/>
          </w:tcPr>
          <w:p w14:paraId="4B5A47E8" w14:textId="03BE8D10" w:rsidR="006E07FB" w:rsidRPr="006E07FB" w:rsidRDefault="00764536">
            <w:pPr>
              <w:pStyle w:val="ListParagraph"/>
              <w:numPr>
                <w:ilvl w:val="0"/>
                <w:numId w:val="8"/>
              </w:numPr>
            </w:pPr>
            <w:r>
              <w:rPr>
                <w:rFonts w:cs="Calibri"/>
              </w:rPr>
              <w:t>G</w:t>
            </w:r>
            <w:r w:rsidR="006E07FB" w:rsidRPr="006E07FB">
              <w:rPr>
                <w:rFonts w:cs="Calibri"/>
              </w:rPr>
              <w:t>uidelines for screening and management of bone health in PLHIV</w:t>
            </w:r>
            <w:r w:rsidR="00854BBA">
              <w:rPr>
                <w:rFonts w:cs="Calibri"/>
                <w:vertAlign w:val="superscript"/>
              </w:rPr>
              <w:t>9</w:t>
            </w:r>
          </w:p>
        </w:tc>
        <w:tc>
          <w:tcPr>
            <w:tcW w:w="4677" w:type="dxa"/>
          </w:tcPr>
          <w:p w14:paraId="61855EEE" w14:textId="77777777" w:rsidR="006E07FB" w:rsidRDefault="006E07FB" w:rsidP="006E07FB"/>
        </w:tc>
      </w:tr>
      <w:tr w:rsidR="006E07FB" w14:paraId="3E791C25" w14:textId="77777777" w:rsidTr="005B34BD">
        <w:trPr>
          <w:trHeight w:val="623"/>
        </w:trPr>
        <w:tc>
          <w:tcPr>
            <w:tcW w:w="10060" w:type="dxa"/>
            <w:shd w:val="clear" w:color="auto" w:fill="F2F2F2" w:themeFill="background1" w:themeFillShade="F2"/>
          </w:tcPr>
          <w:p w14:paraId="74B7E56C" w14:textId="77777777" w:rsidR="005B34BD" w:rsidRDefault="005B34BD" w:rsidP="0024116F"/>
          <w:p w14:paraId="30CE805F" w14:textId="6F0D8518" w:rsidR="006E07FB" w:rsidRDefault="006E07FB" w:rsidP="0024116F">
            <w:r>
              <w:t>SKILLS            Be able to (appropriate to level and experience):</w:t>
            </w:r>
          </w:p>
        </w:tc>
        <w:tc>
          <w:tcPr>
            <w:tcW w:w="4677" w:type="dxa"/>
            <w:shd w:val="clear" w:color="auto" w:fill="F2F2F2" w:themeFill="background1" w:themeFillShade="F2"/>
          </w:tcPr>
          <w:p w14:paraId="7D1F8D35" w14:textId="77777777" w:rsidR="006E07FB" w:rsidRDefault="006E07FB" w:rsidP="0024116F"/>
        </w:tc>
      </w:tr>
      <w:tr w:rsidR="006E07FB" w14:paraId="70745BBD" w14:textId="77777777" w:rsidTr="0024116F">
        <w:tc>
          <w:tcPr>
            <w:tcW w:w="10060" w:type="dxa"/>
          </w:tcPr>
          <w:p w14:paraId="071142A0" w14:textId="6347F527" w:rsidR="006E07FB" w:rsidRDefault="006E07FB">
            <w:pPr>
              <w:pStyle w:val="ListParagraph"/>
              <w:numPr>
                <w:ilvl w:val="0"/>
                <w:numId w:val="21"/>
              </w:numPr>
            </w:pPr>
            <w:r w:rsidRPr="000E4A19">
              <w:t>Give tailored dietary and lifestyle advice to optimise bone health taking into account patient specific factors e.g. lactose intolerance, veganism</w:t>
            </w:r>
          </w:p>
        </w:tc>
        <w:tc>
          <w:tcPr>
            <w:tcW w:w="4677" w:type="dxa"/>
          </w:tcPr>
          <w:p w14:paraId="3C35A128" w14:textId="77777777" w:rsidR="006E07FB" w:rsidRDefault="006E07FB" w:rsidP="006E07FB"/>
        </w:tc>
      </w:tr>
      <w:tr w:rsidR="006E07FB" w14:paraId="54CB9F8F" w14:textId="77777777" w:rsidTr="0024116F">
        <w:tc>
          <w:tcPr>
            <w:tcW w:w="10060" w:type="dxa"/>
          </w:tcPr>
          <w:p w14:paraId="3AF04431" w14:textId="1AF3C83B" w:rsidR="006E07FB" w:rsidRDefault="006E07FB">
            <w:pPr>
              <w:pStyle w:val="ListParagraph"/>
              <w:numPr>
                <w:ilvl w:val="0"/>
                <w:numId w:val="9"/>
              </w:numPr>
            </w:pPr>
            <w:r w:rsidRPr="000E4A19">
              <w:t>Make recommendations on the supplementation of calcium and vitamin D according to local and national guidelines</w:t>
            </w:r>
          </w:p>
        </w:tc>
        <w:tc>
          <w:tcPr>
            <w:tcW w:w="4677" w:type="dxa"/>
          </w:tcPr>
          <w:p w14:paraId="2E74E03F" w14:textId="77777777" w:rsidR="006E07FB" w:rsidRDefault="006E07FB" w:rsidP="006E07FB"/>
        </w:tc>
      </w:tr>
    </w:tbl>
    <w:p w14:paraId="3CE549C2" w14:textId="6CD7D301" w:rsidR="00482975" w:rsidRDefault="00482975" w:rsidP="00E74CE2"/>
    <w:p w14:paraId="6AB996B7" w14:textId="1227B668" w:rsidR="00E74CE2" w:rsidRDefault="00482975" w:rsidP="005B34BD">
      <w:pPr>
        <w:spacing w:after="200" w:line="276" w:lineRule="auto"/>
      </w:pPr>
      <w:r>
        <w:br w:type="page"/>
      </w:r>
    </w:p>
    <w:p w14:paraId="3FBFE82D" w14:textId="1E28FB6F" w:rsidR="00E74CE2" w:rsidRPr="003456CC" w:rsidRDefault="006E07FB">
      <w:pPr>
        <w:pStyle w:val="Heading3"/>
        <w:numPr>
          <w:ilvl w:val="2"/>
          <w:numId w:val="19"/>
        </w:numPr>
        <w:rPr>
          <w:rStyle w:val="IntenseEmphasis"/>
        </w:rPr>
      </w:pPr>
      <w:bookmarkStart w:id="21" w:name="_Toc125983093"/>
      <w:r w:rsidRPr="003456CC">
        <w:rPr>
          <w:rStyle w:val="IntenseEmphasis"/>
        </w:rPr>
        <w:t>Pancreatic Insufficiency</w:t>
      </w:r>
      <w:bookmarkEnd w:id="21"/>
    </w:p>
    <w:p w14:paraId="20A05180" w14:textId="77777777" w:rsidR="006E07FB" w:rsidRPr="006E07FB" w:rsidRDefault="006E07FB" w:rsidP="006E07FB"/>
    <w:tbl>
      <w:tblPr>
        <w:tblStyle w:val="TableGrid"/>
        <w:tblW w:w="14737" w:type="dxa"/>
        <w:tblLook w:val="04A0" w:firstRow="1" w:lastRow="0" w:firstColumn="1" w:lastColumn="0" w:noHBand="0" w:noVBand="1"/>
      </w:tblPr>
      <w:tblGrid>
        <w:gridCol w:w="10060"/>
        <w:gridCol w:w="4677"/>
      </w:tblGrid>
      <w:tr w:rsidR="006E07FB" w14:paraId="104DD979" w14:textId="77777777" w:rsidTr="00482975">
        <w:trPr>
          <w:trHeight w:val="631"/>
        </w:trPr>
        <w:tc>
          <w:tcPr>
            <w:tcW w:w="10060" w:type="dxa"/>
            <w:shd w:val="clear" w:color="auto" w:fill="F2F2F2" w:themeFill="background1" w:themeFillShade="F2"/>
          </w:tcPr>
          <w:p w14:paraId="6852B26D" w14:textId="77777777" w:rsidR="005B34BD" w:rsidRDefault="005B34BD" w:rsidP="0024116F"/>
          <w:p w14:paraId="30B5D751" w14:textId="22711C2D" w:rsidR="006E07FB" w:rsidRDefault="006E07FB" w:rsidP="0024116F">
            <w:r>
              <w:t>KNOWLEDGE      Demonstrate good</w:t>
            </w:r>
            <w:r w:rsidRPr="0036044E">
              <w:t xml:space="preserve"> working and background knowledge </w:t>
            </w:r>
            <w:r>
              <w:t xml:space="preserve">(to appropriate level) </w:t>
            </w:r>
            <w:r w:rsidRPr="0036044E">
              <w:t>of:</w:t>
            </w:r>
            <w:r>
              <w:t xml:space="preserve"> </w:t>
            </w:r>
          </w:p>
        </w:tc>
        <w:tc>
          <w:tcPr>
            <w:tcW w:w="4677" w:type="dxa"/>
            <w:shd w:val="clear" w:color="auto" w:fill="F2F2F2" w:themeFill="background1" w:themeFillShade="F2"/>
          </w:tcPr>
          <w:p w14:paraId="06E6DC50" w14:textId="77777777" w:rsidR="005B34BD" w:rsidRDefault="005B34BD" w:rsidP="0024116F">
            <w:pPr>
              <w:rPr>
                <w:b/>
              </w:rPr>
            </w:pPr>
          </w:p>
          <w:p w14:paraId="4B1218CA" w14:textId="188D7C51" w:rsidR="006E07FB" w:rsidRDefault="006E07FB" w:rsidP="0024116F">
            <w:r w:rsidRPr="00A31DB5">
              <w:rPr>
                <w:b/>
              </w:rPr>
              <w:t>Evidence</w:t>
            </w:r>
          </w:p>
        </w:tc>
      </w:tr>
      <w:tr w:rsidR="006E07FB" w14:paraId="6AC35DCB" w14:textId="77777777" w:rsidTr="006E07FB">
        <w:tc>
          <w:tcPr>
            <w:tcW w:w="10060" w:type="dxa"/>
            <w:shd w:val="clear" w:color="auto" w:fill="FFFFFF" w:themeFill="background1"/>
          </w:tcPr>
          <w:p w14:paraId="159CB381" w14:textId="2ADB43BF" w:rsidR="006E07FB" w:rsidRPr="006E07FB" w:rsidRDefault="006E07FB">
            <w:pPr>
              <w:pStyle w:val="ListParagraph"/>
              <w:numPr>
                <w:ilvl w:val="0"/>
                <w:numId w:val="9"/>
              </w:numPr>
            </w:pPr>
            <w:r w:rsidRPr="006E07FB">
              <w:rPr>
                <w:rFonts w:cs="Calibri"/>
              </w:rPr>
              <w:t xml:space="preserve">The multifactorial reasons for increased risk of pancreatic insufficiency in PLHIV  </w:t>
            </w:r>
          </w:p>
        </w:tc>
        <w:tc>
          <w:tcPr>
            <w:tcW w:w="4677" w:type="dxa"/>
          </w:tcPr>
          <w:p w14:paraId="379F0659" w14:textId="77777777" w:rsidR="006E07FB" w:rsidRDefault="006E07FB" w:rsidP="006E07FB"/>
        </w:tc>
      </w:tr>
      <w:tr w:rsidR="006E07FB" w14:paraId="2B56E173" w14:textId="77777777" w:rsidTr="006E07FB">
        <w:tc>
          <w:tcPr>
            <w:tcW w:w="10060" w:type="dxa"/>
            <w:shd w:val="clear" w:color="auto" w:fill="FFFFFF" w:themeFill="background1"/>
          </w:tcPr>
          <w:p w14:paraId="63F2304D" w14:textId="2470561B" w:rsidR="006E07FB" w:rsidRPr="006E07FB" w:rsidRDefault="006E07FB">
            <w:pPr>
              <w:pStyle w:val="ListParagraph"/>
              <w:numPr>
                <w:ilvl w:val="0"/>
                <w:numId w:val="9"/>
              </w:numPr>
            </w:pPr>
            <w:r w:rsidRPr="006E07FB">
              <w:rPr>
                <w:rFonts w:cs="Calibri"/>
              </w:rPr>
              <w:t>The testing and diagnostic criteria for pancreatic insufficiency</w:t>
            </w:r>
          </w:p>
        </w:tc>
        <w:tc>
          <w:tcPr>
            <w:tcW w:w="4677" w:type="dxa"/>
          </w:tcPr>
          <w:p w14:paraId="5D33E7F7" w14:textId="77777777" w:rsidR="006E07FB" w:rsidRDefault="006E07FB" w:rsidP="006E07FB"/>
        </w:tc>
      </w:tr>
      <w:tr w:rsidR="006E07FB" w14:paraId="6ADF39C5" w14:textId="77777777" w:rsidTr="005B34BD">
        <w:trPr>
          <w:trHeight w:val="514"/>
        </w:trPr>
        <w:tc>
          <w:tcPr>
            <w:tcW w:w="10060" w:type="dxa"/>
            <w:shd w:val="clear" w:color="auto" w:fill="FFFFFF" w:themeFill="background1"/>
          </w:tcPr>
          <w:p w14:paraId="3F13AFC6" w14:textId="26B67777" w:rsidR="006E07FB" w:rsidRPr="006E07FB" w:rsidRDefault="006E07FB">
            <w:pPr>
              <w:pStyle w:val="ListParagraph"/>
              <w:numPr>
                <w:ilvl w:val="0"/>
                <w:numId w:val="9"/>
              </w:numPr>
            </w:pPr>
            <w:r w:rsidRPr="006E07FB">
              <w:rPr>
                <w:rFonts w:cs="Calibri"/>
              </w:rPr>
              <w:t>Pancreatic Enzyme Replacement Therapy (PERT) and its use in PLHIV</w:t>
            </w:r>
          </w:p>
        </w:tc>
        <w:tc>
          <w:tcPr>
            <w:tcW w:w="4677" w:type="dxa"/>
            <w:shd w:val="clear" w:color="auto" w:fill="FFFFFF" w:themeFill="background1"/>
          </w:tcPr>
          <w:p w14:paraId="714B2534" w14:textId="77777777" w:rsidR="006E07FB" w:rsidRDefault="006E07FB" w:rsidP="006E07FB"/>
        </w:tc>
      </w:tr>
      <w:tr w:rsidR="006E07FB" w14:paraId="150951A8" w14:textId="77777777" w:rsidTr="00482975">
        <w:trPr>
          <w:trHeight w:val="500"/>
        </w:trPr>
        <w:tc>
          <w:tcPr>
            <w:tcW w:w="10060" w:type="dxa"/>
            <w:shd w:val="clear" w:color="auto" w:fill="F2F2F2" w:themeFill="background1" w:themeFillShade="F2"/>
          </w:tcPr>
          <w:p w14:paraId="13EE6770" w14:textId="77777777" w:rsidR="005B34BD" w:rsidRDefault="005B34BD" w:rsidP="006E07FB"/>
          <w:p w14:paraId="10B81A67" w14:textId="6EFA507B" w:rsidR="006E07FB" w:rsidRDefault="006E07FB" w:rsidP="006E07FB">
            <w:r>
              <w:t>SKILLS            Be able to (appropriate to level and experience):</w:t>
            </w:r>
          </w:p>
        </w:tc>
        <w:tc>
          <w:tcPr>
            <w:tcW w:w="4677" w:type="dxa"/>
            <w:shd w:val="clear" w:color="auto" w:fill="F2F2F2" w:themeFill="background1" w:themeFillShade="F2"/>
          </w:tcPr>
          <w:p w14:paraId="01D9A130" w14:textId="77777777" w:rsidR="006E07FB" w:rsidRDefault="006E07FB" w:rsidP="006E07FB"/>
        </w:tc>
      </w:tr>
      <w:tr w:rsidR="006E07FB" w14:paraId="777B7177" w14:textId="77777777" w:rsidTr="0024116F">
        <w:tc>
          <w:tcPr>
            <w:tcW w:w="10060" w:type="dxa"/>
          </w:tcPr>
          <w:p w14:paraId="218E5BBF" w14:textId="4BDF1E50" w:rsidR="006E07FB" w:rsidRPr="006E07FB" w:rsidRDefault="006E07FB">
            <w:pPr>
              <w:pStyle w:val="ListParagraph"/>
              <w:numPr>
                <w:ilvl w:val="0"/>
                <w:numId w:val="9"/>
              </w:numPr>
            </w:pPr>
            <w:r w:rsidRPr="006E07FB">
              <w:rPr>
                <w:rFonts w:cs="Calibri"/>
              </w:rPr>
              <w:t>Give evidence-based advice on the appropriate use of PERT, including dosage, to manage symptoms</w:t>
            </w:r>
          </w:p>
        </w:tc>
        <w:tc>
          <w:tcPr>
            <w:tcW w:w="4677" w:type="dxa"/>
          </w:tcPr>
          <w:p w14:paraId="6D628454" w14:textId="77777777" w:rsidR="006E07FB" w:rsidRDefault="006E07FB" w:rsidP="006E07FB"/>
        </w:tc>
      </w:tr>
      <w:tr w:rsidR="006E07FB" w14:paraId="46E1202F" w14:textId="77777777" w:rsidTr="0024116F">
        <w:tc>
          <w:tcPr>
            <w:tcW w:w="10060" w:type="dxa"/>
          </w:tcPr>
          <w:p w14:paraId="5BFC70BE" w14:textId="4FE08081" w:rsidR="006E07FB" w:rsidRPr="006E07FB" w:rsidRDefault="006E07FB">
            <w:pPr>
              <w:pStyle w:val="ListParagraph"/>
              <w:numPr>
                <w:ilvl w:val="0"/>
                <w:numId w:val="9"/>
              </w:numPr>
            </w:pPr>
            <w:r w:rsidRPr="006E07FB">
              <w:rPr>
                <w:rFonts w:cs="Calibri"/>
              </w:rPr>
              <w:t>Identify PLHIV that may have pancreatic insufficiency and request appropriate testing as needed</w:t>
            </w:r>
          </w:p>
        </w:tc>
        <w:tc>
          <w:tcPr>
            <w:tcW w:w="4677" w:type="dxa"/>
          </w:tcPr>
          <w:p w14:paraId="7E7E1B10" w14:textId="77777777" w:rsidR="006E07FB" w:rsidRDefault="006E07FB" w:rsidP="006E07FB"/>
        </w:tc>
      </w:tr>
    </w:tbl>
    <w:p w14:paraId="61A491F3" w14:textId="49672346" w:rsidR="00697F1D" w:rsidRDefault="00697F1D"/>
    <w:p w14:paraId="057112FD" w14:textId="45320C32" w:rsidR="00522715" w:rsidRPr="003456CC" w:rsidRDefault="006E07FB">
      <w:pPr>
        <w:pStyle w:val="Heading3"/>
        <w:numPr>
          <w:ilvl w:val="2"/>
          <w:numId w:val="19"/>
        </w:numPr>
        <w:rPr>
          <w:rStyle w:val="IntenseEmphasis"/>
        </w:rPr>
      </w:pPr>
      <w:bookmarkStart w:id="22" w:name="_Toc125983094"/>
      <w:bookmarkStart w:id="23" w:name="_Hlk103865767"/>
      <w:r w:rsidRPr="003456CC">
        <w:rPr>
          <w:rStyle w:val="IntenseEmphasis"/>
        </w:rPr>
        <w:t>Cancer</w:t>
      </w:r>
      <w:bookmarkEnd w:id="22"/>
    </w:p>
    <w:p w14:paraId="2C0AB89D" w14:textId="77777777" w:rsidR="000D52E8" w:rsidRPr="000D52E8" w:rsidRDefault="000D52E8" w:rsidP="000D52E8"/>
    <w:tbl>
      <w:tblPr>
        <w:tblStyle w:val="TableGrid"/>
        <w:tblW w:w="14596" w:type="dxa"/>
        <w:tblLook w:val="04A0" w:firstRow="1" w:lastRow="0" w:firstColumn="1" w:lastColumn="0" w:noHBand="0" w:noVBand="1"/>
      </w:tblPr>
      <w:tblGrid>
        <w:gridCol w:w="10060"/>
        <w:gridCol w:w="4536"/>
      </w:tblGrid>
      <w:tr w:rsidR="006E07FB" w14:paraId="28D26BF2" w14:textId="77777777" w:rsidTr="00482975">
        <w:trPr>
          <w:trHeight w:val="951"/>
        </w:trPr>
        <w:tc>
          <w:tcPr>
            <w:tcW w:w="10060" w:type="dxa"/>
            <w:shd w:val="clear" w:color="auto" w:fill="F2F2F2" w:themeFill="background1" w:themeFillShade="F2"/>
          </w:tcPr>
          <w:p w14:paraId="1247FE7A" w14:textId="77777777" w:rsidR="005B34BD" w:rsidRDefault="005B34BD" w:rsidP="0024116F"/>
          <w:p w14:paraId="574C516F" w14:textId="4793F5C2" w:rsidR="006E07FB" w:rsidRDefault="006E07FB" w:rsidP="0024116F">
            <w:r>
              <w:t>KNOWLEDGE      Demonstrate good</w:t>
            </w:r>
            <w:r w:rsidRPr="0036044E">
              <w:t xml:space="preserve"> working and background knowledge </w:t>
            </w:r>
            <w:r>
              <w:t xml:space="preserve">(to appropriate level) </w:t>
            </w:r>
            <w:r w:rsidRPr="0036044E">
              <w:t>of:</w:t>
            </w:r>
            <w:r>
              <w:t xml:space="preserve"> </w:t>
            </w:r>
          </w:p>
        </w:tc>
        <w:tc>
          <w:tcPr>
            <w:tcW w:w="4536" w:type="dxa"/>
            <w:shd w:val="clear" w:color="auto" w:fill="F2F2F2" w:themeFill="background1" w:themeFillShade="F2"/>
          </w:tcPr>
          <w:p w14:paraId="1BC5D8DE" w14:textId="77777777" w:rsidR="005B34BD" w:rsidRDefault="005B34BD" w:rsidP="0024116F">
            <w:pPr>
              <w:rPr>
                <w:b/>
              </w:rPr>
            </w:pPr>
          </w:p>
          <w:p w14:paraId="25DCF5E7" w14:textId="619E94F8" w:rsidR="006E07FB" w:rsidRDefault="006E07FB" w:rsidP="0024116F">
            <w:r w:rsidRPr="00A31DB5">
              <w:rPr>
                <w:b/>
              </w:rPr>
              <w:t>Evidence</w:t>
            </w:r>
          </w:p>
        </w:tc>
      </w:tr>
      <w:bookmarkEnd w:id="23"/>
      <w:tr w:rsidR="00F82BDC" w14:paraId="3904CC3D" w14:textId="77777777" w:rsidTr="006E07FB">
        <w:tc>
          <w:tcPr>
            <w:tcW w:w="10060" w:type="dxa"/>
          </w:tcPr>
          <w:p w14:paraId="7F1F7A6B" w14:textId="208C2693" w:rsidR="00F82BDC" w:rsidRPr="00BE73D8" w:rsidRDefault="00F82BDC">
            <w:pPr>
              <w:pStyle w:val="ListParagraph"/>
              <w:numPr>
                <w:ilvl w:val="0"/>
                <w:numId w:val="10"/>
              </w:numPr>
              <w:spacing w:after="0" w:line="240" w:lineRule="auto"/>
              <w:rPr>
                <w:rFonts w:cs="Calibri"/>
              </w:rPr>
            </w:pPr>
            <w:r w:rsidRPr="00BE73D8">
              <w:rPr>
                <w:rFonts w:cs="Calibri"/>
              </w:rPr>
              <w:t>The increased prevalence of certain types of cancers in PLHIV, including AIDS-defining and non-AIDS defining cancers</w:t>
            </w:r>
            <w:r w:rsidR="00390415">
              <w:rPr>
                <w:rFonts w:cs="Calibri"/>
                <w:vertAlign w:val="superscript"/>
              </w:rPr>
              <w:t>(9)</w:t>
            </w:r>
          </w:p>
        </w:tc>
        <w:tc>
          <w:tcPr>
            <w:tcW w:w="4536" w:type="dxa"/>
            <w:shd w:val="clear" w:color="auto" w:fill="FFFFFF" w:themeFill="background1"/>
          </w:tcPr>
          <w:p w14:paraId="22C6A06A" w14:textId="77777777" w:rsidR="00F82BDC" w:rsidRDefault="00F82BDC" w:rsidP="00EC723F"/>
        </w:tc>
      </w:tr>
      <w:tr w:rsidR="00F82BDC" w14:paraId="6E7B3570" w14:textId="77777777" w:rsidTr="006E07FB">
        <w:tc>
          <w:tcPr>
            <w:tcW w:w="10060" w:type="dxa"/>
          </w:tcPr>
          <w:p w14:paraId="6AAB7D3D" w14:textId="03DFD212" w:rsidR="00021896" w:rsidRPr="00BE73D8" w:rsidRDefault="00F82BDC">
            <w:pPr>
              <w:pStyle w:val="ListParagraph"/>
              <w:numPr>
                <w:ilvl w:val="0"/>
                <w:numId w:val="10"/>
              </w:numPr>
              <w:spacing w:after="0" w:line="240" w:lineRule="auto"/>
              <w:rPr>
                <w:rFonts w:cs="Calibri"/>
              </w:rPr>
            </w:pPr>
            <w:r w:rsidRPr="00BE73D8">
              <w:rPr>
                <w:rFonts w:cs="Calibri"/>
              </w:rPr>
              <w:t>Consider food/ARV interactions for PLHIV and cancer when planning nutritional intervention</w:t>
            </w:r>
          </w:p>
        </w:tc>
        <w:tc>
          <w:tcPr>
            <w:tcW w:w="4536" w:type="dxa"/>
            <w:shd w:val="clear" w:color="auto" w:fill="FFFFFF" w:themeFill="background1"/>
          </w:tcPr>
          <w:p w14:paraId="3E236234" w14:textId="77777777" w:rsidR="00F82BDC" w:rsidRDefault="00F82BDC" w:rsidP="005E22F8"/>
        </w:tc>
      </w:tr>
      <w:tr w:rsidR="00BF5C68" w14:paraId="6F4E893F" w14:textId="77777777" w:rsidTr="006E07FB">
        <w:tc>
          <w:tcPr>
            <w:tcW w:w="10060" w:type="dxa"/>
          </w:tcPr>
          <w:p w14:paraId="14456A7F" w14:textId="3795BB41" w:rsidR="00BF5C68" w:rsidRPr="00BE73D8" w:rsidRDefault="00BF5C68">
            <w:pPr>
              <w:pStyle w:val="ListParagraph"/>
              <w:numPr>
                <w:ilvl w:val="0"/>
                <w:numId w:val="10"/>
              </w:numPr>
              <w:spacing w:after="0" w:line="240" w:lineRule="auto"/>
              <w:rPr>
                <w:rFonts w:cs="Calibri"/>
              </w:rPr>
            </w:pPr>
            <w:r w:rsidRPr="00BE73D8">
              <w:rPr>
                <w:rFonts w:cs="Calibri"/>
              </w:rPr>
              <w:t xml:space="preserve">Side effects of common cancer treatments and appropriate dietary interventions </w:t>
            </w:r>
          </w:p>
        </w:tc>
        <w:tc>
          <w:tcPr>
            <w:tcW w:w="4536" w:type="dxa"/>
            <w:shd w:val="clear" w:color="auto" w:fill="FFFFFF" w:themeFill="background1"/>
          </w:tcPr>
          <w:p w14:paraId="4613591D" w14:textId="77777777" w:rsidR="00BF5C68" w:rsidRDefault="00BF5C68" w:rsidP="005E22F8"/>
        </w:tc>
      </w:tr>
    </w:tbl>
    <w:p w14:paraId="1E8CE73A" w14:textId="00115B68" w:rsidR="00482975" w:rsidRDefault="00482975">
      <w:pPr>
        <w:spacing w:after="200" w:line="276" w:lineRule="auto"/>
      </w:pPr>
    </w:p>
    <w:p w14:paraId="37C14220" w14:textId="67A38A54" w:rsidR="000637A5" w:rsidRDefault="00482975">
      <w:pPr>
        <w:pStyle w:val="Heading2"/>
        <w:numPr>
          <w:ilvl w:val="1"/>
          <w:numId w:val="19"/>
        </w:numPr>
      </w:pPr>
      <w:bookmarkStart w:id="24" w:name="_Toc125983095"/>
      <w:r w:rsidRPr="002A62E4">
        <w:t>Nutritional and Dietetic Assessment and Care Planning</w:t>
      </w:r>
      <w:bookmarkEnd w:id="24"/>
    </w:p>
    <w:p w14:paraId="07FEA697" w14:textId="77777777" w:rsidR="003456CC" w:rsidRPr="003456CC" w:rsidRDefault="003456CC" w:rsidP="003456CC"/>
    <w:tbl>
      <w:tblPr>
        <w:tblStyle w:val="TableGrid1"/>
        <w:tblW w:w="14596" w:type="dxa"/>
        <w:tblLayout w:type="fixed"/>
        <w:tblLook w:val="04A0" w:firstRow="1" w:lastRow="0" w:firstColumn="1" w:lastColumn="0" w:noHBand="0" w:noVBand="1"/>
      </w:tblPr>
      <w:tblGrid>
        <w:gridCol w:w="10060"/>
        <w:gridCol w:w="4536"/>
      </w:tblGrid>
      <w:tr w:rsidR="00482975" w:rsidRPr="009208F5" w14:paraId="6BBF1F23" w14:textId="77777777" w:rsidTr="00F7020F">
        <w:trPr>
          <w:cantSplit/>
          <w:trHeight w:val="1245"/>
          <w:tblHeader/>
        </w:trPr>
        <w:tc>
          <w:tcPr>
            <w:tcW w:w="10060" w:type="dxa"/>
          </w:tcPr>
          <w:p w14:paraId="2944E417" w14:textId="77777777" w:rsidR="00482975" w:rsidRDefault="00482975" w:rsidP="00482975">
            <w:pPr>
              <w:spacing w:after="0" w:line="240" w:lineRule="auto"/>
              <w:rPr>
                <w:rFonts w:cs="Calibri"/>
                <w:b/>
                <w:bCs/>
              </w:rPr>
            </w:pPr>
          </w:p>
          <w:p w14:paraId="371B1939" w14:textId="77777777" w:rsidR="00482975" w:rsidRDefault="00482975" w:rsidP="00482975">
            <w:pPr>
              <w:spacing w:after="0" w:line="240" w:lineRule="auto"/>
              <w:rPr>
                <w:rFonts w:cs="Calibri"/>
                <w:b/>
                <w:bCs/>
              </w:rPr>
            </w:pPr>
          </w:p>
          <w:p w14:paraId="7CF41A7D" w14:textId="52EF0837" w:rsidR="00482975" w:rsidRPr="00482975" w:rsidRDefault="00482975" w:rsidP="00482975">
            <w:pPr>
              <w:spacing w:after="0" w:line="240" w:lineRule="auto"/>
              <w:rPr>
                <w:b/>
              </w:rPr>
            </w:pPr>
            <w:r w:rsidRPr="000637A5">
              <w:rPr>
                <w:rFonts w:cs="Calibri"/>
                <w:b/>
                <w:bCs/>
              </w:rPr>
              <w:t xml:space="preserve">SKILLS    </w:t>
            </w:r>
            <w:r>
              <w:rPr>
                <w:rFonts w:cs="Calibri"/>
                <w:b/>
                <w:bCs/>
              </w:rPr>
              <w:t>Be a</w:t>
            </w:r>
            <w:r w:rsidRPr="000637A5">
              <w:rPr>
                <w:rFonts w:cs="Calibri"/>
                <w:b/>
                <w:bCs/>
              </w:rPr>
              <w:t>ble to</w:t>
            </w:r>
            <w:r>
              <w:rPr>
                <w:rFonts w:cs="Calibri"/>
                <w:b/>
                <w:bCs/>
              </w:rPr>
              <w:t xml:space="preserve"> (appropriate to level and experience)</w:t>
            </w:r>
            <w:r w:rsidRPr="000637A5">
              <w:rPr>
                <w:rFonts w:cs="Calibri"/>
                <w:b/>
                <w:bCs/>
              </w:rPr>
              <w:t>:</w:t>
            </w:r>
          </w:p>
        </w:tc>
        <w:tc>
          <w:tcPr>
            <w:tcW w:w="4536" w:type="dxa"/>
          </w:tcPr>
          <w:p w14:paraId="323ECEAE" w14:textId="77777777" w:rsidR="00482975" w:rsidRDefault="00482975" w:rsidP="00482975">
            <w:pPr>
              <w:jc w:val="both"/>
              <w:rPr>
                <w:b/>
              </w:rPr>
            </w:pPr>
          </w:p>
          <w:p w14:paraId="7AB0CD41" w14:textId="56B32928" w:rsidR="00482975" w:rsidRPr="001920C3" w:rsidRDefault="00482975" w:rsidP="00482975">
            <w:pPr>
              <w:jc w:val="both"/>
              <w:rPr>
                <w:b/>
              </w:rPr>
            </w:pPr>
            <w:r w:rsidRPr="001920C3">
              <w:rPr>
                <w:b/>
              </w:rPr>
              <w:t>Evidence</w:t>
            </w:r>
          </w:p>
        </w:tc>
      </w:tr>
      <w:tr w:rsidR="00F82BDC" w:rsidRPr="009208F5" w14:paraId="36C45B51" w14:textId="77777777" w:rsidTr="00695E13">
        <w:trPr>
          <w:trHeight w:val="926"/>
        </w:trPr>
        <w:tc>
          <w:tcPr>
            <w:tcW w:w="10060" w:type="dxa"/>
            <w:shd w:val="clear" w:color="auto" w:fill="D9D9D9" w:themeFill="background1" w:themeFillShade="D9"/>
          </w:tcPr>
          <w:p w14:paraId="27C6BC41" w14:textId="77777777" w:rsidR="005B34BD" w:rsidRDefault="005B34BD" w:rsidP="00F7020F">
            <w:pPr>
              <w:rPr>
                <w:rFonts w:cs="Calibri"/>
                <w:b/>
                <w:bCs/>
              </w:rPr>
            </w:pPr>
          </w:p>
          <w:p w14:paraId="1E1A6A8B" w14:textId="15F65FD2" w:rsidR="00F82BDC" w:rsidRPr="009208F5" w:rsidRDefault="00F82BDC" w:rsidP="00F7020F">
            <w:pPr>
              <w:rPr>
                <w:rFonts w:cs="Calibri"/>
                <w:b/>
                <w:bCs/>
              </w:rPr>
            </w:pPr>
            <w:r w:rsidRPr="009208F5">
              <w:rPr>
                <w:rFonts w:cs="Calibri"/>
                <w:b/>
                <w:bCs/>
              </w:rPr>
              <w:t>OVERVIEW</w:t>
            </w:r>
          </w:p>
        </w:tc>
        <w:tc>
          <w:tcPr>
            <w:tcW w:w="4536" w:type="dxa"/>
            <w:shd w:val="clear" w:color="auto" w:fill="D9D9D9" w:themeFill="background1" w:themeFillShade="D9"/>
          </w:tcPr>
          <w:p w14:paraId="5294EFE7" w14:textId="77777777" w:rsidR="00F82BDC" w:rsidRPr="009208F5" w:rsidRDefault="00F82BDC" w:rsidP="00F7020F"/>
        </w:tc>
      </w:tr>
      <w:tr w:rsidR="00F82BDC" w:rsidRPr="009208F5" w14:paraId="2AA75533" w14:textId="77777777" w:rsidTr="00F7020F">
        <w:tc>
          <w:tcPr>
            <w:tcW w:w="10060" w:type="dxa"/>
          </w:tcPr>
          <w:p w14:paraId="25F00992" w14:textId="631F6C91" w:rsidR="00F82BDC" w:rsidRPr="000D52E8" w:rsidRDefault="00F82BDC" w:rsidP="007907F2">
            <w:pPr>
              <w:rPr>
                <w:rFonts w:cs="Calibri"/>
              </w:rPr>
            </w:pPr>
            <w:r w:rsidRPr="000D52E8">
              <w:t>Undertake clinical assessment of nutritional risk and nutritional needs in PLHIV</w:t>
            </w:r>
            <w:r w:rsidR="007907F2" w:rsidRPr="000D52E8">
              <w:t xml:space="preserve"> and</w:t>
            </w:r>
            <w:r w:rsidR="00225452" w:rsidRPr="000D52E8">
              <w:t xml:space="preserve"> </w:t>
            </w:r>
            <w:r w:rsidR="007907F2" w:rsidRPr="000D52E8">
              <w:t>interpret to make appropriate clinical decisions</w:t>
            </w:r>
          </w:p>
        </w:tc>
        <w:tc>
          <w:tcPr>
            <w:tcW w:w="4536" w:type="dxa"/>
          </w:tcPr>
          <w:p w14:paraId="316FD767" w14:textId="1E3473F3" w:rsidR="00F82BDC" w:rsidRPr="009208F5" w:rsidRDefault="00F82BDC" w:rsidP="00F7020F"/>
        </w:tc>
      </w:tr>
      <w:tr w:rsidR="00F82BDC" w:rsidRPr="009208F5" w14:paraId="5DEDA19D" w14:textId="77777777" w:rsidTr="00305A79">
        <w:tc>
          <w:tcPr>
            <w:tcW w:w="10060" w:type="dxa"/>
          </w:tcPr>
          <w:p w14:paraId="13D216B9" w14:textId="5D3F68CB" w:rsidR="002C0838" w:rsidRDefault="00F82BDC" w:rsidP="00F7020F">
            <w:r w:rsidRPr="000D52E8">
              <w:t>Lead in the development of local</w:t>
            </w:r>
            <w:r w:rsidR="007907F2" w:rsidRPr="000D52E8">
              <w:t xml:space="preserve"> / regional /</w:t>
            </w:r>
            <w:r w:rsidR="002C0838">
              <w:t xml:space="preserve"> </w:t>
            </w:r>
            <w:r w:rsidR="007907F2" w:rsidRPr="000D52E8">
              <w:t>national</w:t>
            </w:r>
            <w:r w:rsidRPr="000D52E8">
              <w:t xml:space="preserve"> guidelines </w:t>
            </w:r>
            <w:r w:rsidR="007907F2" w:rsidRPr="000D52E8">
              <w:t xml:space="preserve">and policies / protocols </w:t>
            </w:r>
            <w:r w:rsidRPr="000D52E8">
              <w:t>for nutritional assessment and screening for nutritional and metabolic issues in PLHIV</w:t>
            </w:r>
            <w:r w:rsidR="002C0838">
              <w:t xml:space="preserve"> </w:t>
            </w:r>
            <w:r w:rsidR="00764536">
              <w:t xml:space="preserve"> </w:t>
            </w:r>
          </w:p>
          <w:p w14:paraId="1B8C28D7" w14:textId="0593D7FF" w:rsidR="00F82BDC" w:rsidRPr="000D52E8" w:rsidRDefault="002C0838" w:rsidP="00F7020F">
            <w:pPr>
              <w:rPr>
                <w:rFonts w:cs="Calibri"/>
              </w:rPr>
            </w:pPr>
            <w:r w:rsidRPr="006B5D7C">
              <w:rPr>
                <w:color w:val="1F497D" w:themeColor="text2"/>
              </w:rPr>
              <w:t>(Advanced and Consultant only)</w:t>
            </w:r>
          </w:p>
        </w:tc>
        <w:tc>
          <w:tcPr>
            <w:tcW w:w="4536" w:type="dxa"/>
            <w:shd w:val="clear" w:color="auto" w:fill="FFFFFF" w:themeFill="background1"/>
          </w:tcPr>
          <w:p w14:paraId="32CC2D2B" w14:textId="20187510" w:rsidR="00F82BDC" w:rsidRPr="009208F5" w:rsidRDefault="00F82BDC" w:rsidP="00FC4EE4"/>
        </w:tc>
      </w:tr>
      <w:tr w:rsidR="00F82BDC" w:rsidRPr="009208F5" w14:paraId="5A6C576D" w14:textId="77777777" w:rsidTr="00695E13">
        <w:trPr>
          <w:trHeight w:val="1024"/>
        </w:trPr>
        <w:tc>
          <w:tcPr>
            <w:tcW w:w="14596" w:type="dxa"/>
            <w:gridSpan w:val="2"/>
            <w:shd w:val="clear" w:color="auto" w:fill="D9D9D9" w:themeFill="background1" w:themeFillShade="D9"/>
          </w:tcPr>
          <w:p w14:paraId="0198ED17" w14:textId="77777777" w:rsidR="005B34BD" w:rsidRDefault="005B34BD" w:rsidP="00F7020F">
            <w:pPr>
              <w:rPr>
                <w:b/>
                <w:bCs/>
              </w:rPr>
            </w:pPr>
          </w:p>
          <w:p w14:paraId="6730E920" w14:textId="0E30CF9A" w:rsidR="00F82BDC" w:rsidRPr="009208F5" w:rsidRDefault="00F82BDC" w:rsidP="00F7020F">
            <w:r w:rsidRPr="009208F5">
              <w:rPr>
                <w:b/>
                <w:bCs/>
              </w:rPr>
              <w:t>ANTHROPOMETRY</w:t>
            </w:r>
          </w:p>
        </w:tc>
      </w:tr>
      <w:tr w:rsidR="00F82BDC" w:rsidRPr="009208F5" w14:paraId="33E4DDDE" w14:textId="77777777" w:rsidTr="00F7020F">
        <w:tc>
          <w:tcPr>
            <w:tcW w:w="10060" w:type="dxa"/>
            <w:shd w:val="clear" w:color="auto" w:fill="auto"/>
          </w:tcPr>
          <w:p w14:paraId="0962D288" w14:textId="2C32FDA2" w:rsidR="00F82BDC" w:rsidRPr="000D52E8" w:rsidRDefault="00F82BDC" w:rsidP="007907F2">
            <w:r w:rsidRPr="000D52E8">
              <w:t xml:space="preserve">Measure and interpret weight, height, </w:t>
            </w:r>
            <w:r w:rsidR="007907F2" w:rsidRPr="000D52E8">
              <w:t xml:space="preserve">BMI, weight loss %, </w:t>
            </w:r>
            <w:r w:rsidRPr="000D52E8">
              <w:t xml:space="preserve">waist </w:t>
            </w:r>
            <w:r w:rsidR="001920C3" w:rsidRPr="000D52E8">
              <w:t>circumference,</w:t>
            </w:r>
            <w:r w:rsidR="007907F2" w:rsidRPr="000D52E8">
              <w:t xml:space="preserve"> </w:t>
            </w:r>
            <w:r w:rsidR="005B34BD" w:rsidRPr="000D52E8">
              <w:t>waist: hip</w:t>
            </w:r>
            <w:r w:rsidR="007907F2" w:rsidRPr="000D52E8">
              <w:t xml:space="preserve"> ratio</w:t>
            </w:r>
            <w:r w:rsidR="001920C3" w:rsidRPr="000D52E8">
              <w:t>,</w:t>
            </w:r>
            <w:r w:rsidR="007907F2" w:rsidRPr="000D52E8">
              <w:t xml:space="preserve"> and</w:t>
            </w:r>
            <w:r w:rsidRPr="000D52E8">
              <w:t xml:space="preserve"> </w:t>
            </w:r>
            <w:r w:rsidR="007907F2" w:rsidRPr="000D52E8">
              <w:t>MUAC</w:t>
            </w:r>
            <w:r w:rsidR="00225452" w:rsidRPr="000D52E8">
              <w:t xml:space="preserve"> </w:t>
            </w:r>
            <w:r w:rsidRPr="000D52E8">
              <w:t>in PLHIV</w:t>
            </w:r>
          </w:p>
        </w:tc>
        <w:tc>
          <w:tcPr>
            <w:tcW w:w="4536" w:type="dxa"/>
          </w:tcPr>
          <w:p w14:paraId="2DBFD897" w14:textId="77777777" w:rsidR="00F82BDC" w:rsidRPr="009208F5" w:rsidRDefault="00F82BDC" w:rsidP="00F7020F"/>
        </w:tc>
      </w:tr>
      <w:tr w:rsidR="00F82BDC" w:rsidRPr="009208F5" w14:paraId="24AA8B0E" w14:textId="77777777" w:rsidTr="008776C8">
        <w:tc>
          <w:tcPr>
            <w:tcW w:w="10060" w:type="dxa"/>
            <w:shd w:val="clear" w:color="auto" w:fill="auto"/>
          </w:tcPr>
          <w:p w14:paraId="6E204C49" w14:textId="265690F0" w:rsidR="00F82BDC" w:rsidRPr="000D52E8" w:rsidRDefault="00F82BDC" w:rsidP="00294150">
            <w:r w:rsidRPr="000D52E8">
              <w:t>Measure and interpret skinfold thickness</w:t>
            </w:r>
            <w:r w:rsidR="00294150" w:rsidRPr="000D52E8">
              <w:t xml:space="preserve"> and </w:t>
            </w:r>
            <w:r w:rsidR="00294150" w:rsidRPr="000D52E8">
              <w:rPr>
                <w:rFonts w:cs="Calibri"/>
              </w:rPr>
              <w:t>identify the need for more advanced body composition analysis (e.g. DEXA scan)</w:t>
            </w:r>
            <w:r w:rsidR="00294150" w:rsidRPr="000D52E8">
              <w:t xml:space="preserve"> </w:t>
            </w:r>
          </w:p>
        </w:tc>
        <w:tc>
          <w:tcPr>
            <w:tcW w:w="4536" w:type="dxa"/>
            <w:shd w:val="clear" w:color="auto" w:fill="FFFFFF" w:themeFill="background1"/>
          </w:tcPr>
          <w:p w14:paraId="0B9D17E6" w14:textId="41299992" w:rsidR="00F82BDC" w:rsidRPr="009208F5" w:rsidRDefault="00F82BDC" w:rsidP="00F7020F"/>
        </w:tc>
      </w:tr>
      <w:tr w:rsidR="00F82BDC" w:rsidRPr="009208F5" w14:paraId="3604B1F0" w14:textId="77777777" w:rsidTr="002C0838">
        <w:trPr>
          <w:trHeight w:val="736"/>
        </w:trPr>
        <w:tc>
          <w:tcPr>
            <w:tcW w:w="10060" w:type="dxa"/>
            <w:shd w:val="clear" w:color="auto" w:fill="auto"/>
          </w:tcPr>
          <w:p w14:paraId="3DA5556A" w14:textId="76A1EF4C" w:rsidR="00F82BDC" w:rsidRPr="000D52E8" w:rsidRDefault="00F82BDC" w:rsidP="001920C3">
            <w:r w:rsidRPr="000D52E8">
              <w:t xml:space="preserve">Use and interpret results of nutritionally relevant screening tools used in PLHIV </w:t>
            </w:r>
            <w:r w:rsidR="001920C3" w:rsidRPr="000D52E8">
              <w:t>e.g.</w:t>
            </w:r>
            <w:r w:rsidRPr="000D52E8">
              <w:t xml:space="preserve"> </w:t>
            </w:r>
            <w:r w:rsidR="001920C3" w:rsidRPr="000D52E8">
              <w:t>QRISK, DM R</w:t>
            </w:r>
            <w:r w:rsidRPr="000D52E8">
              <w:t>isk, FRAX</w:t>
            </w:r>
          </w:p>
        </w:tc>
        <w:tc>
          <w:tcPr>
            <w:tcW w:w="4536" w:type="dxa"/>
            <w:shd w:val="clear" w:color="auto" w:fill="FFFFFF" w:themeFill="background1"/>
          </w:tcPr>
          <w:p w14:paraId="2DA1DF6A" w14:textId="6DDE6C5C" w:rsidR="00F82BDC" w:rsidRPr="009208F5" w:rsidRDefault="00F82BDC" w:rsidP="00F7020F"/>
        </w:tc>
      </w:tr>
      <w:tr w:rsidR="00F82BDC" w:rsidRPr="009208F5" w14:paraId="72ECF93E" w14:textId="77777777" w:rsidTr="00695E13">
        <w:trPr>
          <w:trHeight w:val="1000"/>
        </w:trPr>
        <w:tc>
          <w:tcPr>
            <w:tcW w:w="14596" w:type="dxa"/>
            <w:gridSpan w:val="2"/>
            <w:tcBorders>
              <w:bottom w:val="single" w:sz="4" w:space="0" w:color="auto"/>
            </w:tcBorders>
            <w:shd w:val="clear" w:color="auto" w:fill="D9D9D9" w:themeFill="background1" w:themeFillShade="D9"/>
          </w:tcPr>
          <w:p w14:paraId="4D714722" w14:textId="77777777" w:rsidR="005B34BD" w:rsidRDefault="005B34BD" w:rsidP="00F7020F">
            <w:pPr>
              <w:rPr>
                <w:b/>
                <w:bCs/>
              </w:rPr>
            </w:pPr>
          </w:p>
          <w:p w14:paraId="3B70D6CB" w14:textId="62CC29ED" w:rsidR="00F82BDC" w:rsidRPr="009208F5" w:rsidRDefault="00F82BDC" w:rsidP="00F7020F">
            <w:r w:rsidRPr="009208F5">
              <w:rPr>
                <w:b/>
                <w:bCs/>
              </w:rPr>
              <w:t>BIOCHEMISTRY</w:t>
            </w:r>
          </w:p>
        </w:tc>
      </w:tr>
      <w:tr w:rsidR="00F82BDC" w:rsidRPr="009208F5" w14:paraId="344FF537" w14:textId="77777777" w:rsidTr="00F7020F">
        <w:tc>
          <w:tcPr>
            <w:tcW w:w="10060" w:type="dxa"/>
            <w:tcBorders>
              <w:top w:val="single" w:sz="4" w:space="0" w:color="auto"/>
              <w:left w:val="single" w:sz="4" w:space="0" w:color="auto"/>
              <w:bottom w:val="single" w:sz="4" w:space="0" w:color="auto"/>
              <w:right w:val="single" w:sz="4" w:space="0" w:color="auto"/>
            </w:tcBorders>
          </w:tcPr>
          <w:p w14:paraId="0822B504" w14:textId="43B0B4BA" w:rsidR="00F82BDC" w:rsidRPr="000D52E8" w:rsidRDefault="00F82BDC" w:rsidP="00F7020F">
            <w:r w:rsidRPr="000D52E8">
              <w:t>Interpret results of relevant biochemical and haematological tests related to nutritional care of PLHIV, including CD4 and V</w:t>
            </w:r>
            <w:r w:rsidR="000526F5" w:rsidRPr="000D52E8">
              <w:t>iral Load (VL)</w:t>
            </w:r>
          </w:p>
        </w:tc>
        <w:tc>
          <w:tcPr>
            <w:tcW w:w="4536" w:type="dxa"/>
            <w:tcBorders>
              <w:left w:val="single" w:sz="4" w:space="0" w:color="auto"/>
            </w:tcBorders>
          </w:tcPr>
          <w:p w14:paraId="03A38C74" w14:textId="77777777" w:rsidR="00F82BDC" w:rsidRPr="009208F5" w:rsidRDefault="00F82BDC" w:rsidP="00F7020F"/>
        </w:tc>
      </w:tr>
      <w:tr w:rsidR="00F82BDC" w:rsidRPr="009208F5" w14:paraId="7832BF23" w14:textId="77777777" w:rsidTr="007F5187">
        <w:tc>
          <w:tcPr>
            <w:tcW w:w="10060" w:type="dxa"/>
            <w:tcBorders>
              <w:top w:val="single" w:sz="4" w:space="0" w:color="auto"/>
            </w:tcBorders>
          </w:tcPr>
          <w:p w14:paraId="7A7F05DC" w14:textId="5C1E41DA" w:rsidR="00F82BDC" w:rsidRPr="000D52E8" w:rsidRDefault="00F82BDC" w:rsidP="00F7020F">
            <w:r w:rsidRPr="000D52E8">
              <w:t>Interpret investigations pertaining to bone disease, lipids and diabetes risk in PLHIV</w:t>
            </w:r>
          </w:p>
        </w:tc>
        <w:tc>
          <w:tcPr>
            <w:tcW w:w="4536" w:type="dxa"/>
            <w:shd w:val="clear" w:color="auto" w:fill="FFFFFF" w:themeFill="background1"/>
          </w:tcPr>
          <w:p w14:paraId="3081A20E" w14:textId="3A5E96EA" w:rsidR="00F82BDC" w:rsidRPr="009208F5" w:rsidRDefault="00F82BDC" w:rsidP="00F7020F"/>
        </w:tc>
      </w:tr>
      <w:tr w:rsidR="00F82BDC" w:rsidRPr="009208F5" w14:paraId="72F8FC36" w14:textId="77777777" w:rsidTr="007F5187">
        <w:tc>
          <w:tcPr>
            <w:tcW w:w="10060" w:type="dxa"/>
          </w:tcPr>
          <w:p w14:paraId="4DDB8991" w14:textId="11D9B4D5" w:rsidR="00F82BDC" w:rsidRPr="000D52E8" w:rsidRDefault="00F82BDC" w:rsidP="00F7020F">
            <w:pPr>
              <w:ind w:left="33"/>
            </w:pPr>
            <w:r w:rsidRPr="000D52E8">
              <w:t xml:space="preserve">Understand and interpret all HIV specific laboratory tests (CD4, CD4 %, nadir VL, VL) and more complex laboratory investigations in an HIV context (e.g. related to bone health or </w:t>
            </w:r>
            <w:r w:rsidR="000526F5" w:rsidRPr="000D52E8">
              <w:t>opportuni</w:t>
            </w:r>
            <w:r w:rsidRPr="000D52E8">
              <w:t>s</w:t>
            </w:r>
            <w:r w:rsidR="000526F5" w:rsidRPr="000D52E8">
              <w:t>tic infections</w:t>
            </w:r>
            <w:r w:rsidRPr="000D52E8">
              <w:t>)</w:t>
            </w:r>
          </w:p>
        </w:tc>
        <w:tc>
          <w:tcPr>
            <w:tcW w:w="4536" w:type="dxa"/>
            <w:shd w:val="clear" w:color="auto" w:fill="FFFFFF" w:themeFill="background1"/>
          </w:tcPr>
          <w:p w14:paraId="754F017D" w14:textId="6A0AC1CF" w:rsidR="00F82BDC" w:rsidRPr="009208F5" w:rsidRDefault="00F82BDC" w:rsidP="00F7020F"/>
        </w:tc>
      </w:tr>
      <w:tr w:rsidR="002B2478" w:rsidRPr="009208F5" w14:paraId="30F23019" w14:textId="77777777" w:rsidTr="00695E13">
        <w:trPr>
          <w:trHeight w:val="999"/>
        </w:trPr>
        <w:tc>
          <w:tcPr>
            <w:tcW w:w="14596" w:type="dxa"/>
            <w:gridSpan w:val="2"/>
            <w:shd w:val="clear" w:color="auto" w:fill="D9D9D9" w:themeFill="background1" w:themeFillShade="D9"/>
          </w:tcPr>
          <w:p w14:paraId="679946A6" w14:textId="77777777" w:rsidR="005B34BD" w:rsidRDefault="005B34BD" w:rsidP="00F7020F">
            <w:pPr>
              <w:rPr>
                <w:b/>
                <w:bCs/>
              </w:rPr>
            </w:pPr>
          </w:p>
          <w:p w14:paraId="7EA23C59" w14:textId="06A44936" w:rsidR="002B2478" w:rsidRPr="009208F5" w:rsidRDefault="002B2478" w:rsidP="00F7020F">
            <w:r w:rsidRPr="009208F5">
              <w:rPr>
                <w:b/>
                <w:bCs/>
              </w:rPr>
              <w:t>CLINICAL ASSESSMENT</w:t>
            </w:r>
          </w:p>
        </w:tc>
      </w:tr>
      <w:tr w:rsidR="002B2478" w:rsidRPr="009208F5" w14:paraId="6156DD00" w14:textId="77777777" w:rsidTr="00F7020F">
        <w:tc>
          <w:tcPr>
            <w:tcW w:w="10060" w:type="dxa"/>
          </w:tcPr>
          <w:p w14:paraId="562BFC08" w14:textId="3B39080B" w:rsidR="002B2478" w:rsidRPr="000D52E8" w:rsidRDefault="002B2478" w:rsidP="00F7020F">
            <w:r w:rsidRPr="000D52E8">
              <w:t>Collect and understand relevant information on past medical history in PLHIV including knowledge of conditions that often co-exist with HIV</w:t>
            </w:r>
            <w:r w:rsidR="007907F2" w:rsidRPr="000D52E8">
              <w:t xml:space="preserve"> (see comorbidity section for more details)</w:t>
            </w:r>
          </w:p>
        </w:tc>
        <w:tc>
          <w:tcPr>
            <w:tcW w:w="4536" w:type="dxa"/>
          </w:tcPr>
          <w:p w14:paraId="40A6FD79" w14:textId="77777777" w:rsidR="002B2478" w:rsidRPr="009208F5" w:rsidRDefault="002B2478" w:rsidP="00F7020F"/>
        </w:tc>
      </w:tr>
      <w:tr w:rsidR="002B2478" w:rsidRPr="009208F5" w14:paraId="2896EFE7" w14:textId="77777777" w:rsidTr="00F7020F">
        <w:tc>
          <w:tcPr>
            <w:tcW w:w="10060" w:type="dxa"/>
          </w:tcPr>
          <w:p w14:paraId="5C69453B" w14:textId="726FA3F2" w:rsidR="002B2478" w:rsidRPr="000D52E8" w:rsidRDefault="002B2478" w:rsidP="007F5187">
            <w:r w:rsidRPr="000D52E8">
              <w:t>Identify clinical conditions</w:t>
            </w:r>
            <w:r w:rsidR="007F5187" w:rsidRPr="000D52E8">
              <w:t>, GI symptoms</w:t>
            </w:r>
            <w:r w:rsidRPr="000D52E8">
              <w:t xml:space="preserve"> or side effects to treatment in PLHIV which may impact on nutritional status in PLHIV </w:t>
            </w:r>
          </w:p>
        </w:tc>
        <w:tc>
          <w:tcPr>
            <w:tcW w:w="4536" w:type="dxa"/>
          </w:tcPr>
          <w:p w14:paraId="34C5F00D" w14:textId="77777777" w:rsidR="002B2478" w:rsidRPr="009208F5" w:rsidRDefault="002B2478" w:rsidP="00F7020F"/>
        </w:tc>
      </w:tr>
      <w:tr w:rsidR="002B2478" w:rsidRPr="009208F5" w14:paraId="10ED0D16" w14:textId="77777777" w:rsidTr="005B34BD">
        <w:trPr>
          <w:trHeight w:val="589"/>
        </w:trPr>
        <w:tc>
          <w:tcPr>
            <w:tcW w:w="10060" w:type="dxa"/>
          </w:tcPr>
          <w:p w14:paraId="417E27D7" w14:textId="41EDE188" w:rsidR="002B2478" w:rsidRPr="009208F5" w:rsidRDefault="002B2478" w:rsidP="000D52E8">
            <w:pPr>
              <w:rPr>
                <w:rFonts w:ascii="Calibri" w:eastAsia="Times New Roman" w:hAnsi="Calibri" w:cs="Calibri"/>
                <w:sz w:val="20"/>
                <w:szCs w:val="20"/>
              </w:rPr>
            </w:pPr>
            <w:r w:rsidRPr="000D52E8">
              <w:t>Demonstrate understanding of the aetiology, manifestation, management, and treatment of the main causes of acute illness in PLHIV</w:t>
            </w:r>
            <w:r w:rsidRPr="009208F5">
              <w:rPr>
                <w:rFonts w:ascii="Calibri" w:eastAsia="Times New Roman" w:hAnsi="Calibri" w:cs="Calibri"/>
                <w:sz w:val="20"/>
                <w:szCs w:val="20"/>
              </w:rPr>
              <w:t xml:space="preserve"> </w:t>
            </w:r>
          </w:p>
        </w:tc>
        <w:tc>
          <w:tcPr>
            <w:tcW w:w="4536" w:type="dxa"/>
            <w:shd w:val="clear" w:color="auto" w:fill="FFFFFF" w:themeFill="background1"/>
          </w:tcPr>
          <w:p w14:paraId="05E3D849" w14:textId="77777777" w:rsidR="002B2478" w:rsidRPr="009208F5" w:rsidRDefault="002B2478" w:rsidP="00F7020F"/>
        </w:tc>
      </w:tr>
      <w:tr w:rsidR="002B2478" w:rsidRPr="009208F5" w14:paraId="5D6082AE" w14:textId="77777777" w:rsidTr="005B34BD">
        <w:trPr>
          <w:trHeight w:val="1270"/>
        </w:trPr>
        <w:tc>
          <w:tcPr>
            <w:tcW w:w="14596" w:type="dxa"/>
            <w:gridSpan w:val="2"/>
            <w:tcBorders>
              <w:bottom w:val="single" w:sz="4" w:space="0" w:color="auto"/>
            </w:tcBorders>
            <w:shd w:val="clear" w:color="auto" w:fill="D9D9D9" w:themeFill="background1" w:themeFillShade="D9"/>
          </w:tcPr>
          <w:p w14:paraId="5096097E" w14:textId="77777777" w:rsidR="005B34BD" w:rsidRDefault="005B34BD" w:rsidP="00F7020F">
            <w:pPr>
              <w:rPr>
                <w:b/>
                <w:bCs/>
              </w:rPr>
            </w:pPr>
          </w:p>
          <w:p w14:paraId="35E9975C" w14:textId="670C85EF" w:rsidR="005B34BD" w:rsidRPr="005B34BD" w:rsidRDefault="002B2478" w:rsidP="00F7020F">
            <w:pPr>
              <w:rPr>
                <w:b/>
                <w:bCs/>
              </w:rPr>
            </w:pPr>
            <w:r w:rsidRPr="009208F5">
              <w:rPr>
                <w:b/>
                <w:bCs/>
              </w:rPr>
              <w:t>MEDICATION</w:t>
            </w:r>
          </w:p>
        </w:tc>
      </w:tr>
      <w:tr w:rsidR="002B2478" w:rsidRPr="009208F5" w14:paraId="72EE105D" w14:textId="77777777" w:rsidTr="00F7020F">
        <w:tc>
          <w:tcPr>
            <w:tcW w:w="10060" w:type="dxa"/>
            <w:tcBorders>
              <w:top w:val="single" w:sz="4" w:space="0" w:color="auto"/>
            </w:tcBorders>
          </w:tcPr>
          <w:p w14:paraId="5A823A61" w14:textId="06BD71C5" w:rsidR="002B2478" w:rsidRPr="000D52E8" w:rsidRDefault="002B2478" w:rsidP="000D52E8">
            <w:r w:rsidRPr="000D52E8">
              <w:t>Show awareness of the occurrence of drug-nutrient interactions and know how to access advice about these</w:t>
            </w:r>
          </w:p>
        </w:tc>
        <w:tc>
          <w:tcPr>
            <w:tcW w:w="4536" w:type="dxa"/>
          </w:tcPr>
          <w:p w14:paraId="0B6D15E8" w14:textId="77777777" w:rsidR="002B2478" w:rsidRPr="009208F5" w:rsidRDefault="002B2478" w:rsidP="00F7020F"/>
        </w:tc>
      </w:tr>
      <w:tr w:rsidR="002B2478" w:rsidRPr="009208F5" w14:paraId="6E0CF1BE" w14:textId="77777777" w:rsidTr="007F5187">
        <w:tc>
          <w:tcPr>
            <w:tcW w:w="10060" w:type="dxa"/>
            <w:tcBorders>
              <w:top w:val="single" w:sz="4" w:space="0" w:color="auto"/>
            </w:tcBorders>
          </w:tcPr>
          <w:p w14:paraId="31F6AAA2" w14:textId="75C2EFAD" w:rsidR="002B2478" w:rsidRPr="009208F5" w:rsidRDefault="002B2478" w:rsidP="000D52E8">
            <w:r w:rsidRPr="000D52E8">
              <w:t>Demonstrate an understanding of how ARVs work</w:t>
            </w:r>
            <w:r w:rsidR="001920C3" w:rsidRPr="000D52E8">
              <w:t xml:space="preserve"> (mechanisms of action)</w:t>
            </w:r>
            <w:r w:rsidRPr="000D52E8">
              <w:t>, drug classes</w:t>
            </w:r>
            <w:r w:rsidR="00390415">
              <w:t xml:space="preserve"> and combinations</w:t>
            </w:r>
            <w:r w:rsidR="00E06F2D">
              <w:rPr>
                <w:vertAlign w:val="superscript"/>
              </w:rPr>
              <w:t>(11</w:t>
            </w:r>
            <w:r w:rsidR="00390415">
              <w:rPr>
                <w:vertAlign w:val="superscript"/>
              </w:rPr>
              <w:t>)</w:t>
            </w:r>
            <w:r w:rsidR="00390415">
              <w:t xml:space="preserve">, </w:t>
            </w:r>
            <w:r w:rsidRPr="000D52E8">
              <w:t>administration, timings and dietary requirements</w:t>
            </w:r>
          </w:p>
        </w:tc>
        <w:tc>
          <w:tcPr>
            <w:tcW w:w="4536" w:type="dxa"/>
            <w:shd w:val="clear" w:color="auto" w:fill="FFFFFF" w:themeFill="background1"/>
          </w:tcPr>
          <w:p w14:paraId="0228B0A2" w14:textId="77777777" w:rsidR="002B2478" w:rsidRPr="009208F5" w:rsidRDefault="002B2478" w:rsidP="00F7020F"/>
        </w:tc>
      </w:tr>
      <w:tr w:rsidR="002B2478" w:rsidRPr="009208F5" w14:paraId="2A2A30C4" w14:textId="77777777" w:rsidTr="007F5187">
        <w:tc>
          <w:tcPr>
            <w:tcW w:w="10060" w:type="dxa"/>
            <w:tcBorders>
              <w:top w:val="single" w:sz="4" w:space="0" w:color="auto"/>
            </w:tcBorders>
          </w:tcPr>
          <w:p w14:paraId="01A2FD64" w14:textId="679384E7" w:rsidR="002B2478" w:rsidRPr="000D52E8" w:rsidRDefault="002B2478" w:rsidP="000D52E8">
            <w:r w:rsidRPr="000D52E8">
              <w:t>Demonstrate a good knowledge and understanding of other medications commonly prescribed for PLHIV</w:t>
            </w:r>
            <w:r w:rsidR="00196557">
              <w:t xml:space="preserve"> a</w:t>
            </w:r>
            <w:r w:rsidR="00CC79C3">
              <w:t>n</w:t>
            </w:r>
            <w:r w:rsidR="00196557">
              <w:t>d their common side effects</w:t>
            </w:r>
            <w:r w:rsidR="00CC79C3">
              <w:t>, i</w:t>
            </w:r>
            <w:r w:rsidR="00196557">
              <w:t>ncluding anti-microbials, anti-depressants and anti-psychotics</w:t>
            </w:r>
          </w:p>
        </w:tc>
        <w:tc>
          <w:tcPr>
            <w:tcW w:w="4536" w:type="dxa"/>
            <w:shd w:val="clear" w:color="auto" w:fill="FFFFFF" w:themeFill="background1"/>
          </w:tcPr>
          <w:p w14:paraId="0B21C90A" w14:textId="77777777" w:rsidR="002B2478" w:rsidRPr="009208F5" w:rsidRDefault="002B2478" w:rsidP="00F7020F"/>
        </w:tc>
      </w:tr>
      <w:tr w:rsidR="002B2478" w:rsidRPr="009208F5" w14:paraId="12FDA322" w14:textId="77777777" w:rsidTr="007F5187">
        <w:tc>
          <w:tcPr>
            <w:tcW w:w="10060" w:type="dxa"/>
          </w:tcPr>
          <w:p w14:paraId="2F9DA885" w14:textId="3DEFDA5F" w:rsidR="002B2478" w:rsidRPr="009208F5" w:rsidRDefault="002B2478" w:rsidP="000D52E8">
            <w:r w:rsidRPr="000D52E8">
              <w:t>Recognise common side-effects of ARVs particularly those requiring urgent attention</w:t>
            </w:r>
            <w:r w:rsidR="00C5469F" w:rsidRPr="000D52E8">
              <w:t>, and demonstrate ability to address the nutritional aspects of long-term side-effects of ARV</w:t>
            </w:r>
            <w:r w:rsidRPr="000D52E8">
              <w:t xml:space="preserve"> </w:t>
            </w:r>
          </w:p>
        </w:tc>
        <w:tc>
          <w:tcPr>
            <w:tcW w:w="4536" w:type="dxa"/>
            <w:shd w:val="clear" w:color="auto" w:fill="FFFFFF" w:themeFill="background1"/>
          </w:tcPr>
          <w:p w14:paraId="702693B6" w14:textId="77777777" w:rsidR="002B2478" w:rsidRPr="009208F5" w:rsidRDefault="002B2478" w:rsidP="00F7020F"/>
        </w:tc>
      </w:tr>
      <w:tr w:rsidR="002B2478" w:rsidRPr="009208F5" w14:paraId="3B240E1D" w14:textId="77777777" w:rsidTr="007F5187">
        <w:tc>
          <w:tcPr>
            <w:tcW w:w="10060" w:type="dxa"/>
          </w:tcPr>
          <w:p w14:paraId="106F36A6" w14:textId="39BA00AF" w:rsidR="002B2478" w:rsidRPr="009208F5" w:rsidRDefault="002B2478" w:rsidP="000D52E8">
            <w:r w:rsidRPr="000D52E8">
              <w:t>Know how to access help and advice on HIV treatments, their outcomes and side-effects and direct patients to these resources or MDT members for help</w:t>
            </w:r>
          </w:p>
        </w:tc>
        <w:tc>
          <w:tcPr>
            <w:tcW w:w="4536" w:type="dxa"/>
            <w:shd w:val="clear" w:color="auto" w:fill="FFFFFF" w:themeFill="background1"/>
          </w:tcPr>
          <w:p w14:paraId="6B9E8368" w14:textId="77777777" w:rsidR="002B2478" w:rsidRPr="009208F5" w:rsidRDefault="002B2478" w:rsidP="00F7020F"/>
        </w:tc>
      </w:tr>
      <w:tr w:rsidR="002B2478" w:rsidRPr="009208F5" w14:paraId="763214DA" w14:textId="77777777" w:rsidTr="007F5187">
        <w:tc>
          <w:tcPr>
            <w:tcW w:w="10060" w:type="dxa"/>
          </w:tcPr>
          <w:p w14:paraId="713E4693" w14:textId="3A71B2F3" w:rsidR="002B2478" w:rsidRPr="009208F5" w:rsidRDefault="002B2478" w:rsidP="000D52E8">
            <w:r w:rsidRPr="000D52E8">
              <w:t xml:space="preserve">Recognise and take action when situations are detrimental to the correct administration of ARV (e.g. patients with chronic nausea and vomiting) </w:t>
            </w:r>
          </w:p>
        </w:tc>
        <w:tc>
          <w:tcPr>
            <w:tcW w:w="4536" w:type="dxa"/>
            <w:shd w:val="clear" w:color="auto" w:fill="FFFFFF" w:themeFill="background1"/>
          </w:tcPr>
          <w:p w14:paraId="2DB43A6C" w14:textId="77777777" w:rsidR="002B2478" w:rsidRPr="009208F5" w:rsidRDefault="002B2478" w:rsidP="00F7020F"/>
        </w:tc>
      </w:tr>
      <w:tr w:rsidR="002B2478" w:rsidRPr="009208F5" w14:paraId="016C06B8" w14:textId="77777777" w:rsidTr="007F5187">
        <w:tc>
          <w:tcPr>
            <w:tcW w:w="10060" w:type="dxa"/>
          </w:tcPr>
          <w:p w14:paraId="7A56E44E" w14:textId="2FB9154A" w:rsidR="002B2478" w:rsidRPr="009208F5" w:rsidRDefault="002B2478" w:rsidP="000D52E8">
            <w:r w:rsidRPr="000D52E8">
              <w:t>Demonstrate understanding of the nature of the interactions and risks posed by some complementary/alternative medicine (CAM)</w:t>
            </w:r>
            <w:r w:rsidRPr="000D52E8" w:rsidDel="00651C78">
              <w:t xml:space="preserve"> </w:t>
            </w:r>
            <w:r w:rsidRPr="000D52E8">
              <w:t xml:space="preserve">and advise patients accordingly. Know where to seek more in-depth advice when needed </w:t>
            </w:r>
          </w:p>
        </w:tc>
        <w:tc>
          <w:tcPr>
            <w:tcW w:w="4536" w:type="dxa"/>
            <w:shd w:val="clear" w:color="auto" w:fill="FFFFFF" w:themeFill="background1"/>
          </w:tcPr>
          <w:p w14:paraId="3212419E" w14:textId="77777777" w:rsidR="002B2478" w:rsidRPr="009208F5" w:rsidRDefault="002B2478" w:rsidP="00F7020F"/>
        </w:tc>
      </w:tr>
      <w:tr w:rsidR="00F908F7" w:rsidRPr="009208F5" w14:paraId="2FEF76FD" w14:textId="77777777" w:rsidTr="00695E13">
        <w:trPr>
          <w:trHeight w:val="1000"/>
        </w:trPr>
        <w:tc>
          <w:tcPr>
            <w:tcW w:w="14596" w:type="dxa"/>
            <w:gridSpan w:val="2"/>
            <w:shd w:val="clear" w:color="auto" w:fill="D9D9D9" w:themeFill="background1" w:themeFillShade="D9"/>
          </w:tcPr>
          <w:p w14:paraId="6F9139AB" w14:textId="77777777" w:rsidR="005B34BD" w:rsidRDefault="005B34BD" w:rsidP="00F7020F">
            <w:pPr>
              <w:rPr>
                <w:b/>
                <w:bCs/>
              </w:rPr>
            </w:pPr>
          </w:p>
          <w:p w14:paraId="04E713CE" w14:textId="26F71299" w:rsidR="00F908F7" w:rsidRPr="009208F5" w:rsidRDefault="00F908F7" w:rsidP="00F7020F">
            <w:r w:rsidRPr="009208F5">
              <w:rPr>
                <w:b/>
                <w:bCs/>
              </w:rPr>
              <w:t>DIETARY ASSESSMENT</w:t>
            </w:r>
          </w:p>
        </w:tc>
      </w:tr>
      <w:tr w:rsidR="00F908F7" w:rsidRPr="009208F5" w14:paraId="136B308F" w14:textId="77777777" w:rsidTr="00F7020F">
        <w:tc>
          <w:tcPr>
            <w:tcW w:w="10060" w:type="dxa"/>
          </w:tcPr>
          <w:p w14:paraId="10B4A7BF" w14:textId="3D59C8F6" w:rsidR="00F908F7" w:rsidRPr="000D52E8" w:rsidRDefault="00F908F7" w:rsidP="00F7020F">
            <w:r w:rsidRPr="000D52E8">
              <w:t>Complete detailed diet histories relevant to the clinical situation for PLHIV</w:t>
            </w:r>
          </w:p>
        </w:tc>
        <w:tc>
          <w:tcPr>
            <w:tcW w:w="4536" w:type="dxa"/>
            <w:shd w:val="clear" w:color="auto" w:fill="FFFFFF" w:themeFill="background1"/>
          </w:tcPr>
          <w:p w14:paraId="3A1A0629" w14:textId="77777777" w:rsidR="00F908F7" w:rsidRPr="009208F5" w:rsidRDefault="00F908F7" w:rsidP="00F7020F"/>
        </w:tc>
      </w:tr>
      <w:tr w:rsidR="00F908F7" w:rsidRPr="009208F5" w14:paraId="72A85B68" w14:textId="77777777" w:rsidTr="00F7020F">
        <w:tc>
          <w:tcPr>
            <w:tcW w:w="10060" w:type="dxa"/>
          </w:tcPr>
          <w:p w14:paraId="12329360" w14:textId="39255D5D" w:rsidR="00F908F7" w:rsidRPr="000D52E8" w:rsidRDefault="00F908F7" w:rsidP="000D52E8">
            <w:r w:rsidRPr="000D52E8">
              <w:t>Be sensitive to cultural, religious, ethnic, or personal dietary preferences of PLHIV</w:t>
            </w:r>
          </w:p>
        </w:tc>
        <w:tc>
          <w:tcPr>
            <w:tcW w:w="4536" w:type="dxa"/>
          </w:tcPr>
          <w:p w14:paraId="38716E7C" w14:textId="77777777" w:rsidR="00F908F7" w:rsidRPr="009208F5" w:rsidRDefault="00F908F7" w:rsidP="00F7020F"/>
        </w:tc>
      </w:tr>
      <w:tr w:rsidR="00F908F7" w:rsidRPr="009208F5" w14:paraId="335BA0D0" w14:textId="77777777" w:rsidTr="00F7020F">
        <w:tc>
          <w:tcPr>
            <w:tcW w:w="10060" w:type="dxa"/>
          </w:tcPr>
          <w:p w14:paraId="00C68889" w14:textId="70B05E7A" w:rsidR="00F908F7" w:rsidRPr="000D52E8" w:rsidRDefault="00F908F7" w:rsidP="000D52E8">
            <w:r w:rsidRPr="000D52E8">
              <w:t>Calculate energy, protein, and micronutrient requirements in PLHIV using appropriate predictive equations and evidence base</w:t>
            </w:r>
          </w:p>
        </w:tc>
        <w:tc>
          <w:tcPr>
            <w:tcW w:w="4536" w:type="dxa"/>
          </w:tcPr>
          <w:p w14:paraId="13A1703D" w14:textId="77777777" w:rsidR="00F908F7" w:rsidRPr="009208F5" w:rsidRDefault="00F908F7" w:rsidP="00F7020F"/>
        </w:tc>
      </w:tr>
      <w:tr w:rsidR="00F908F7" w:rsidRPr="009208F5" w14:paraId="406090F1" w14:textId="77777777" w:rsidTr="00124D1A">
        <w:tc>
          <w:tcPr>
            <w:tcW w:w="10060" w:type="dxa"/>
          </w:tcPr>
          <w:p w14:paraId="5D351E6F" w14:textId="637A94EE" w:rsidR="00F908F7" w:rsidRPr="000D52E8" w:rsidRDefault="00F908F7" w:rsidP="000D52E8">
            <w:r w:rsidRPr="000D52E8">
              <w:t xml:space="preserve">Collect detailed information on CAM, vitamins mineral supplementation and identify dietary beliefs and misconceptions </w:t>
            </w:r>
          </w:p>
        </w:tc>
        <w:tc>
          <w:tcPr>
            <w:tcW w:w="4536" w:type="dxa"/>
            <w:shd w:val="clear" w:color="auto" w:fill="FFFFFF" w:themeFill="background1"/>
          </w:tcPr>
          <w:p w14:paraId="74E2EB0F" w14:textId="77777777" w:rsidR="00F908F7" w:rsidRPr="009208F5" w:rsidRDefault="00F908F7" w:rsidP="00F7020F"/>
        </w:tc>
      </w:tr>
      <w:tr w:rsidR="00F908F7" w:rsidRPr="009208F5" w14:paraId="6CB9B535" w14:textId="77777777" w:rsidTr="00695E13">
        <w:trPr>
          <w:trHeight w:val="1238"/>
        </w:trPr>
        <w:tc>
          <w:tcPr>
            <w:tcW w:w="14596" w:type="dxa"/>
            <w:gridSpan w:val="2"/>
            <w:shd w:val="clear" w:color="auto" w:fill="D9D9D9" w:themeFill="background1" w:themeFillShade="D9"/>
          </w:tcPr>
          <w:p w14:paraId="066D1769" w14:textId="77777777" w:rsidR="005B34BD" w:rsidRDefault="005B34BD" w:rsidP="00F7020F">
            <w:pPr>
              <w:rPr>
                <w:rFonts w:eastAsia="Times New Roman" w:cstheme="minorHAnsi"/>
                <w:b/>
                <w:bCs/>
                <w:color w:val="000000"/>
                <w:lang w:eastAsia="en-GB"/>
              </w:rPr>
            </w:pPr>
          </w:p>
          <w:p w14:paraId="6A843387" w14:textId="315E36E7" w:rsidR="00F908F7" w:rsidRPr="002C0838" w:rsidRDefault="00F908F7" w:rsidP="00F7020F">
            <w:pPr>
              <w:rPr>
                <w:rFonts w:cstheme="minorHAnsi"/>
              </w:rPr>
            </w:pPr>
            <w:r w:rsidRPr="002C0838">
              <w:rPr>
                <w:rFonts w:eastAsia="Times New Roman" w:cstheme="minorHAnsi"/>
                <w:b/>
                <w:bCs/>
                <w:color w:val="000000"/>
                <w:lang w:eastAsia="en-GB"/>
              </w:rPr>
              <w:t xml:space="preserve">ENVIRONMENTAL/ </w:t>
            </w:r>
            <w:r w:rsidR="00EC34F7" w:rsidRPr="002C0838">
              <w:rPr>
                <w:rFonts w:eastAsia="Times New Roman" w:cstheme="minorHAnsi"/>
                <w:b/>
                <w:bCs/>
                <w:color w:val="000000"/>
                <w:lang w:eastAsia="en-GB"/>
              </w:rPr>
              <w:t>PSYCHO</w:t>
            </w:r>
            <w:r w:rsidRPr="002C0838">
              <w:rPr>
                <w:rFonts w:eastAsia="Times New Roman" w:cstheme="minorHAnsi"/>
                <w:b/>
                <w:bCs/>
                <w:color w:val="000000"/>
                <w:lang w:eastAsia="en-GB"/>
              </w:rPr>
              <w:t>SOCIAL/ BEHAVIOURAL ASSESSEMENT</w:t>
            </w:r>
          </w:p>
        </w:tc>
      </w:tr>
      <w:tr w:rsidR="00F908F7" w:rsidRPr="009208F5" w14:paraId="49F704F4" w14:textId="77777777" w:rsidTr="00F7020F">
        <w:tc>
          <w:tcPr>
            <w:tcW w:w="10060" w:type="dxa"/>
          </w:tcPr>
          <w:p w14:paraId="2B699310" w14:textId="2C90F36E" w:rsidR="00F908F7" w:rsidRPr="000D52E8" w:rsidRDefault="00F908F7" w:rsidP="000D52E8">
            <w:r w:rsidRPr="000D52E8">
              <w:t xml:space="preserve">Gather and interpret </w:t>
            </w:r>
            <w:r w:rsidR="00EC34F7" w:rsidRPr="000D52E8">
              <w:t>psycho</w:t>
            </w:r>
            <w:r w:rsidRPr="000D52E8">
              <w:t xml:space="preserve">social information e.g. </w:t>
            </w:r>
            <w:r w:rsidR="00EC34F7" w:rsidRPr="000D52E8">
              <w:t xml:space="preserve">mental health conditions, sleep patterns, </w:t>
            </w:r>
            <w:r w:rsidRPr="000D52E8">
              <w:t xml:space="preserve">living arrangements, </w:t>
            </w:r>
            <w:r w:rsidR="00EC34F7" w:rsidRPr="000D52E8">
              <w:t xml:space="preserve">support systems, </w:t>
            </w:r>
            <w:r w:rsidRPr="000D52E8">
              <w:t>employment status, immigration status for PLHIV</w:t>
            </w:r>
            <w:r w:rsidR="007907F2" w:rsidRPr="000D52E8">
              <w:t xml:space="preserve"> (see social, psychological and economic needs section for more details)</w:t>
            </w:r>
          </w:p>
        </w:tc>
        <w:tc>
          <w:tcPr>
            <w:tcW w:w="4536" w:type="dxa"/>
          </w:tcPr>
          <w:p w14:paraId="2E6A9586" w14:textId="77777777" w:rsidR="00F908F7" w:rsidRPr="009208F5" w:rsidRDefault="00F908F7" w:rsidP="00F7020F"/>
        </w:tc>
      </w:tr>
      <w:tr w:rsidR="00C5469F" w:rsidRPr="009208F5" w14:paraId="6F083C92" w14:textId="77777777" w:rsidTr="00F7020F">
        <w:tc>
          <w:tcPr>
            <w:tcW w:w="10060" w:type="dxa"/>
          </w:tcPr>
          <w:p w14:paraId="7B1604A5" w14:textId="4D44BA2D" w:rsidR="00C5469F" w:rsidRPr="000D52E8" w:rsidRDefault="00C5469F" w:rsidP="000D52E8">
            <w:r w:rsidRPr="000D52E8">
              <w:t>Gather</w:t>
            </w:r>
            <w:r w:rsidR="005D7898" w:rsidRPr="000D52E8">
              <w:t xml:space="preserve"> and interpret</w:t>
            </w:r>
            <w:r w:rsidRPr="000D52E8">
              <w:t xml:space="preserve"> information on recent or longstanding lifestyle habits, behavioural patterns</w:t>
            </w:r>
            <w:r w:rsidR="00EC34F7" w:rsidRPr="000D52E8">
              <w:t>, motivating factors</w:t>
            </w:r>
            <w:r w:rsidRPr="000D52E8">
              <w:t xml:space="preserve"> </w:t>
            </w:r>
            <w:r w:rsidR="00EC34F7" w:rsidRPr="000D52E8">
              <w:t>and</w:t>
            </w:r>
            <w:r w:rsidRPr="000D52E8">
              <w:t xml:space="preserve"> barriers to change </w:t>
            </w:r>
          </w:p>
        </w:tc>
        <w:tc>
          <w:tcPr>
            <w:tcW w:w="4536" w:type="dxa"/>
          </w:tcPr>
          <w:p w14:paraId="16BD162B" w14:textId="77777777" w:rsidR="00C5469F" w:rsidRPr="009208F5" w:rsidRDefault="00C5469F" w:rsidP="00F7020F"/>
        </w:tc>
      </w:tr>
      <w:tr w:rsidR="00676914" w:rsidRPr="009208F5" w14:paraId="1DEBB1C0" w14:textId="77777777" w:rsidTr="00695E13">
        <w:trPr>
          <w:trHeight w:val="1040"/>
        </w:trPr>
        <w:tc>
          <w:tcPr>
            <w:tcW w:w="14596" w:type="dxa"/>
            <w:gridSpan w:val="2"/>
            <w:shd w:val="clear" w:color="auto" w:fill="D9D9D9" w:themeFill="background1" w:themeFillShade="D9"/>
          </w:tcPr>
          <w:p w14:paraId="6A55F5C9" w14:textId="77777777" w:rsidR="005B34BD" w:rsidRDefault="005B34BD" w:rsidP="00F7020F">
            <w:pPr>
              <w:rPr>
                <w:rFonts w:eastAsia="Times New Roman" w:cstheme="minorHAnsi"/>
                <w:b/>
                <w:bCs/>
                <w:color w:val="000000"/>
                <w:lang w:eastAsia="en-GB"/>
              </w:rPr>
            </w:pPr>
          </w:p>
          <w:p w14:paraId="584D05FD" w14:textId="2227C24E" w:rsidR="00676914" w:rsidRPr="002C0838" w:rsidRDefault="002C0838" w:rsidP="00F7020F">
            <w:r>
              <w:rPr>
                <w:rFonts w:eastAsia="Times New Roman" w:cstheme="minorHAnsi"/>
                <w:b/>
                <w:bCs/>
                <w:color w:val="000000"/>
                <w:lang w:eastAsia="en-GB"/>
              </w:rPr>
              <w:t>FUNCTIONAL</w:t>
            </w:r>
            <w:r w:rsidR="00C5469F" w:rsidRPr="002C0838">
              <w:rPr>
                <w:rFonts w:eastAsia="Times New Roman" w:cstheme="minorHAnsi"/>
                <w:b/>
                <w:bCs/>
                <w:color w:val="000000"/>
                <w:lang w:eastAsia="en-GB"/>
              </w:rPr>
              <w:t xml:space="preserve"> </w:t>
            </w:r>
            <w:r>
              <w:rPr>
                <w:rFonts w:eastAsia="Times New Roman" w:cstheme="minorHAnsi"/>
                <w:b/>
                <w:bCs/>
                <w:color w:val="000000"/>
                <w:lang w:eastAsia="en-GB"/>
              </w:rPr>
              <w:t>–</w:t>
            </w:r>
            <w:r w:rsidR="00676914" w:rsidRPr="002C0838">
              <w:rPr>
                <w:rFonts w:eastAsia="Times New Roman" w:cstheme="minorHAnsi"/>
                <w:b/>
                <w:bCs/>
                <w:color w:val="000000"/>
                <w:lang w:eastAsia="en-GB"/>
              </w:rPr>
              <w:t xml:space="preserve"> </w:t>
            </w:r>
            <w:r>
              <w:rPr>
                <w:rFonts w:eastAsia="Times New Roman" w:cstheme="minorHAnsi"/>
                <w:b/>
                <w:bCs/>
                <w:color w:val="000000"/>
                <w:lang w:eastAsia="en-GB"/>
              </w:rPr>
              <w:t>SERVICE USER GOALS / ASSESSMENT OF CAPACITY</w:t>
            </w:r>
          </w:p>
        </w:tc>
      </w:tr>
      <w:tr w:rsidR="00676914" w:rsidRPr="009208F5" w14:paraId="19DD0A66" w14:textId="77777777" w:rsidTr="007907F2">
        <w:tc>
          <w:tcPr>
            <w:tcW w:w="10060" w:type="dxa"/>
          </w:tcPr>
          <w:p w14:paraId="760EC95F" w14:textId="4C73982E" w:rsidR="00676914" w:rsidRPr="002C0838" w:rsidRDefault="007907F2" w:rsidP="002C0838">
            <w:r w:rsidRPr="002C0838">
              <w:t xml:space="preserve">Provide </w:t>
            </w:r>
            <w:r w:rsidR="00676914" w:rsidRPr="002C0838">
              <w:t>a person-centred a</w:t>
            </w:r>
            <w:r w:rsidR="00C5469F" w:rsidRPr="002C0838">
              <w:t>pproach in assessment taking in</w:t>
            </w:r>
            <w:r w:rsidR="00676914" w:rsidRPr="002C0838">
              <w:t>to account the service user</w:t>
            </w:r>
            <w:r w:rsidRPr="002C0838">
              <w:t>’</w:t>
            </w:r>
            <w:r w:rsidR="00676914" w:rsidRPr="002C0838">
              <w:t>s goals and functional status</w:t>
            </w:r>
          </w:p>
        </w:tc>
        <w:tc>
          <w:tcPr>
            <w:tcW w:w="4536" w:type="dxa"/>
            <w:shd w:val="clear" w:color="auto" w:fill="FFFFFF" w:themeFill="background1"/>
          </w:tcPr>
          <w:p w14:paraId="58CF0AC5" w14:textId="77777777" w:rsidR="00676914" w:rsidRPr="009208F5" w:rsidRDefault="00676914" w:rsidP="00F7020F"/>
        </w:tc>
      </w:tr>
      <w:tr w:rsidR="00676914" w:rsidRPr="009208F5" w14:paraId="22235E85" w14:textId="77777777" w:rsidTr="007907F2">
        <w:tc>
          <w:tcPr>
            <w:tcW w:w="10060" w:type="dxa"/>
          </w:tcPr>
          <w:p w14:paraId="2BEC1E92" w14:textId="1C5EE0AC" w:rsidR="00676914" w:rsidRPr="002C0838" w:rsidRDefault="00676914" w:rsidP="000D52E8">
            <w:r w:rsidRPr="002C0838">
              <w:t xml:space="preserve">Demonstrate knowledge of common HIV-related neurological disorders and take capacity into account when making assessments or promoting diet and lifestyle changes </w:t>
            </w:r>
          </w:p>
        </w:tc>
        <w:tc>
          <w:tcPr>
            <w:tcW w:w="4536" w:type="dxa"/>
            <w:shd w:val="clear" w:color="auto" w:fill="FFFFFF" w:themeFill="background1"/>
          </w:tcPr>
          <w:p w14:paraId="6ED951C8" w14:textId="77777777" w:rsidR="00676914" w:rsidRPr="009208F5" w:rsidRDefault="00676914" w:rsidP="00F7020F"/>
        </w:tc>
      </w:tr>
      <w:tr w:rsidR="00676914" w:rsidRPr="009208F5" w14:paraId="7C5B059B" w14:textId="77777777" w:rsidTr="007907F2">
        <w:tc>
          <w:tcPr>
            <w:tcW w:w="10060" w:type="dxa"/>
          </w:tcPr>
          <w:p w14:paraId="41EDC758" w14:textId="3F9D0220" w:rsidR="00676914" w:rsidRPr="002C0838" w:rsidRDefault="00676914" w:rsidP="000D52E8">
            <w:r w:rsidRPr="002C0838">
              <w:t>Work in collaboration with the service user and other MDT members to assess functional status and tailor assessment and intervention to the patients’ capacity</w:t>
            </w:r>
          </w:p>
        </w:tc>
        <w:tc>
          <w:tcPr>
            <w:tcW w:w="4536" w:type="dxa"/>
            <w:shd w:val="clear" w:color="auto" w:fill="FFFFFF" w:themeFill="background1"/>
          </w:tcPr>
          <w:p w14:paraId="29CB6E81" w14:textId="77777777" w:rsidR="00676914" w:rsidRPr="009208F5" w:rsidRDefault="00676914" w:rsidP="00F7020F"/>
        </w:tc>
      </w:tr>
      <w:tr w:rsidR="00676914" w:rsidRPr="009208F5" w14:paraId="75BAABFD" w14:textId="77777777" w:rsidTr="00695E13">
        <w:trPr>
          <w:trHeight w:val="1000"/>
        </w:trPr>
        <w:tc>
          <w:tcPr>
            <w:tcW w:w="14596" w:type="dxa"/>
            <w:gridSpan w:val="2"/>
            <w:shd w:val="clear" w:color="auto" w:fill="D9D9D9" w:themeFill="background1" w:themeFillShade="D9"/>
          </w:tcPr>
          <w:p w14:paraId="1E36A233" w14:textId="77777777" w:rsidR="005B34BD" w:rsidRDefault="005B34BD" w:rsidP="00F7020F">
            <w:pPr>
              <w:rPr>
                <w:rFonts w:eastAsia="Times New Roman" w:cstheme="minorHAnsi"/>
                <w:b/>
                <w:bCs/>
                <w:color w:val="000000"/>
                <w:lang w:eastAsia="en-GB"/>
              </w:rPr>
            </w:pPr>
          </w:p>
          <w:p w14:paraId="600D3517" w14:textId="7EC31CD9" w:rsidR="00676914" w:rsidRPr="002C0838" w:rsidRDefault="00676914" w:rsidP="00F7020F">
            <w:pPr>
              <w:rPr>
                <w:b/>
                <w:bCs/>
              </w:rPr>
            </w:pPr>
            <w:r w:rsidRPr="002C0838">
              <w:rPr>
                <w:rFonts w:eastAsia="Times New Roman" w:cstheme="minorHAnsi"/>
                <w:b/>
                <w:bCs/>
                <w:color w:val="000000"/>
                <w:lang w:eastAsia="en-GB"/>
              </w:rPr>
              <w:t>NUTRITION AND DIETETIC DIAGNOSIS</w:t>
            </w:r>
          </w:p>
        </w:tc>
      </w:tr>
      <w:tr w:rsidR="00676914" w:rsidRPr="009208F5" w14:paraId="3DE5BB57" w14:textId="77777777" w:rsidTr="00124D1A">
        <w:tc>
          <w:tcPr>
            <w:tcW w:w="10060" w:type="dxa"/>
          </w:tcPr>
          <w:p w14:paraId="1C1B6FEF" w14:textId="4F499BD0" w:rsidR="00676914" w:rsidRPr="000D52E8" w:rsidRDefault="00676914" w:rsidP="000D52E8">
            <w:r w:rsidRPr="000D52E8">
              <w:t xml:space="preserve">Independently devise appropriate dietetic diagnoses for PLHIV </w:t>
            </w:r>
          </w:p>
        </w:tc>
        <w:tc>
          <w:tcPr>
            <w:tcW w:w="4536" w:type="dxa"/>
            <w:shd w:val="clear" w:color="auto" w:fill="FFFFFF" w:themeFill="background1"/>
          </w:tcPr>
          <w:p w14:paraId="7E0C6E05" w14:textId="77777777" w:rsidR="00676914" w:rsidRPr="009208F5" w:rsidRDefault="00676914" w:rsidP="00F7020F"/>
        </w:tc>
      </w:tr>
      <w:tr w:rsidR="00676914" w:rsidRPr="009208F5" w14:paraId="189EA7E3" w14:textId="77777777" w:rsidTr="00124D1A">
        <w:tc>
          <w:tcPr>
            <w:tcW w:w="10060" w:type="dxa"/>
          </w:tcPr>
          <w:p w14:paraId="3150C675" w14:textId="28EE4609" w:rsidR="00676914" w:rsidRPr="000D52E8" w:rsidRDefault="00676914" w:rsidP="000D52E8">
            <w:r w:rsidRPr="000D52E8">
              <w:t>Critique dietetic diagnoses in PLHIV and measure the effectiveness of dietetic intervention</w:t>
            </w:r>
          </w:p>
        </w:tc>
        <w:tc>
          <w:tcPr>
            <w:tcW w:w="4536" w:type="dxa"/>
            <w:shd w:val="clear" w:color="auto" w:fill="FFFFFF" w:themeFill="background1"/>
          </w:tcPr>
          <w:p w14:paraId="1EBECBD7" w14:textId="77777777" w:rsidR="00676914" w:rsidRPr="009208F5" w:rsidRDefault="00676914" w:rsidP="00F7020F"/>
        </w:tc>
      </w:tr>
      <w:tr w:rsidR="00676914" w:rsidRPr="009208F5" w14:paraId="6EE3D565" w14:textId="77777777" w:rsidTr="002C0838">
        <w:trPr>
          <w:trHeight w:val="1001"/>
        </w:trPr>
        <w:tc>
          <w:tcPr>
            <w:tcW w:w="14596" w:type="dxa"/>
            <w:gridSpan w:val="2"/>
            <w:shd w:val="clear" w:color="auto" w:fill="D9D9D9" w:themeFill="background1" w:themeFillShade="D9"/>
          </w:tcPr>
          <w:p w14:paraId="17837B87" w14:textId="77777777" w:rsidR="005B34BD" w:rsidRDefault="005B34BD" w:rsidP="00F7020F">
            <w:pPr>
              <w:rPr>
                <w:rFonts w:eastAsia="Times New Roman" w:cstheme="minorHAnsi"/>
                <w:b/>
                <w:bCs/>
                <w:color w:val="000000"/>
                <w:lang w:eastAsia="en-GB"/>
              </w:rPr>
            </w:pPr>
          </w:p>
          <w:p w14:paraId="0A68BB3D" w14:textId="4B084673" w:rsidR="00676914" w:rsidRPr="002C0838" w:rsidRDefault="00676914" w:rsidP="00F7020F">
            <w:pPr>
              <w:rPr>
                <w:b/>
                <w:bCs/>
              </w:rPr>
            </w:pPr>
            <w:r w:rsidRPr="002C0838">
              <w:rPr>
                <w:rFonts w:eastAsia="Times New Roman" w:cstheme="minorHAnsi"/>
                <w:b/>
                <w:bCs/>
                <w:color w:val="000000"/>
                <w:lang w:eastAsia="en-GB"/>
              </w:rPr>
              <w:t>DIETETIC CARE PLANNING</w:t>
            </w:r>
          </w:p>
        </w:tc>
      </w:tr>
      <w:tr w:rsidR="00676914" w:rsidRPr="009208F5" w14:paraId="34E21A9C" w14:textId="77777777" w:rsidTr="00F7020F">
        <w:tc>
          <w:tcPr>
            <w:tcW w:w="10060" w:type="dxa"/>
          </w:tcPr>
          <w:p w14:paraId="357E7369" w14:textId="5708E7E9" w:rsidR="00676914" w:rsidRPr="000D52E8" w:rsidRDefault="00676914" w:rsidP="000D52E8">
            <w:r w:rsidRPr="000D52E8">
              <w:t xml:space="preserve">Interpret assessments and collaborate with the service user to set aims for nutritional care and implement a nutritional care plan in co-operation with the MDT </w:t>
            </w:r>
          </w:p>
        </w:tc>
        <w:tc>
          <w:tcPr>
            <w:tcW w:w="4536" w:type="dxa"/>
            <w:shd w:val="clear" w:color="auto" w:fill="FFFFFF" w:themeFill="background1"/>
          </w:tcPr>
          <w:p w14:paraId="65BD93F5" w14:textId="77777777" w:rsidR="00676914" w:rsidRPr="009208F5" w:rsidRDefault="00676914" w:rsidP="00F7020F"/>
        </w:tc>
      </w:tr>
      <w:tr w:rsidR="00676914" w:rsidRPr="009208F5" w14:paraId="7C5E9671" w14:textId="77777777" w:rsidTr="00F7020F">
        <w:tc>
          <w:tcPr>
            <w:tcW w:w="10060" w:type="dxa"/>
          </w:tcPr>
          <w:p w14:paraId="6123AF22" w14:textId="702B469A" w:rsidR="00676914" w:rsidRPr="000D52E8" w:rsidRDefault="00676914" w:rsidP="000D52E8">
            <w:r w:rsidRPr="000D52E8">
              <w:t>Use supporting diet sheets, written information and electronic resources pitched a</w:t>
            </w:r>
            <w:r w:rsidR="007907F2" w:rsidRPr="000D52E8">
              <w:t>t an</w:t>
            </w:r>
            <w:r w:rsidRPr="000D52E8">
              <w:t xml:space="preserve"> appropriate level for the PLHIV</w:t>
            </w:r>
          </w:p>
        </w:tc>
        <w:tc>
          <w:tcPr>
            <w:tcW w:w="4536" w:type="dxa"/>
            <w:shd w:val="clear" w:color="auto" w:fill="FFFFFF" w:themeFill="background1"/>
          </w:tcPr>
          <w:p w14:paraId="68180401" w14:textId="77777777" w:rsidR="00676914" w:rsidRPr="009208F5" w:rsidRDefault="00676914" w:rsidP="00F7020F"/>
        </w:tc>
      </w:tr>
      <w:tr w:rsidR="00676914" w:rsidRPr="009208F5" w14:paraId="68EDB66F" w14:textId="77777777" w:rsidTr="00F7020F">
        <w:tc>
          <w:tcPr>
            <w:tcW w:w="10060" w:type="dxa"/>
          </w:tcPr>
          <w:p w14:paraId="53BE6576" w14:textId="73716A15" w:rsidR="00676914" w:rsidRPr="000D52E8" w:rsidRDefault="00676914" w:rsidP="000D52E8">
            <w:r w:rsidRPr="000D52E8">
              <w:t xml:space="preserve">Collaborate with PLHIV to develop a </w:t>
            </w:r>
            <w:r w:rsidR="00EC34F7" w:rsidRPr="000D52E8">
              <w:t xml:space="preserve">realistic and achievable </w:t>
            </w:r>
            <w:r w:rsidRPr="000D52E8">
              <w:t>patient-centred dietetic care plan which takes into consideration all aspects of their social and clinical status</w:t>
            </w:r>
          </w:p>
        </w:tc>
        <w:tc>
          <w:tcPr>
            <w:tcW w:w="4536" w:type="dxa"/>
            <w:shd w:val="clear" w:color="auto" w:fill="FFFFFF" w:themeFill="background1"/>
          </w:tcPr>
          <w:p w14:paraId="1D267F48" w14:textId="77777777" w:rsidR="00676914" w:rsidRPr="009208F5" w:rsidRDefault="00676914" w:rsidP="00F7020F"/>
        </w:tc>
      </w:tr>
      <w:tr w:rsidR="00676914" w:rsidRPr="009208F5" w14:paraId="5A9225D5" w14:textId="77777777" w:rsidTr="00F7020F">
        <w:tc>
          <w:tcPr>
            <w:tcW w:w="10060" w:type="dxa"/>
          </w:tcPr>
          <w:p w14:paraId="027CB2E5" w14:textId="1ABDE953" w:rsidR="00676914" w:rsidRPr="000D52E8" w:rsidRDefault="00676914" w:rsidP="000D52E8">
            <w:r w:rsidRPr="000D52E8">
              <w:t>Plan the appropriate level of review and observation, in conjunction with the MDT, to ensure early detection of any changes to nutritional status</w:t>
            </w:r>
          </w:p>
        </w:tc>
        <w:tc>
          <w:tcPr>
            <w:tcW w:w="4536" w:type="dxa"/>
            <w:shd w:val="clear" w:color="auto" w:fill="FFFFFF" w:themeFill="background1"/>
          </w:tcPr>
          <w:p w14:paraId="22F2E043" w14:textId="77777777" w:rsidR="00676914" w:rsidRPr="009208F5" w:rsidRDefault="00676914" w:rsidP="00F7020F"/>
        </w:tc>
      </w:tr>
    </w:tbl>
    <w:p w14:paraId="361D5319" w14:textId="7E8C2409" w:rsidR="00695E13" w:rsidRDefault="00695E13">
      <w:pPr>
        <w:spacing w:after="200" w:line="276" w:lineRule="auto"/>
        <w:rPr>
          <w:rFonts w:asciiTheme="majorHAnsi" w:eastAsiaTheme="majorEastAsia" w:hAnsiTheme="majorHAnsi" w:cstheme="majorBidi"/>
          <w:color w:val="365F91" w:themeColor="accent1" w:themeShade="BF"/>
          <w:sz w:val="26"/>
          <w:szCs w:val="26"/>
        </w:rPr>
      </w:pPr>
    </w:p>
    <w:p w14:paraId="6F9692D7" w14:textId="02805D40" w:rsidR="00716483" w:rsidRDefault="00695E13">
      <w:pPr>
        <w:spacing w:after="200" w:line="276" w:lineRule="auto"/>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br w:type="page"/>
      </w:r>
    </w:p>
    <w:p w14:paraId="785ACA09" w14:textId="26951903" w:rsidR="00716483" w:rsidRDefault="00716483">
      <w:pPr>
        <w:pStyle w:val="Heading1"/>
        <w:numPr>
          <w:ilvl w:val="0"/>
          <w:numId w:val="19"/>
        </w:numPr>
      </w:pPr>
      <w:bookmarkStart w:id="25" w:name="_Toc125983096"/>
      <w:r w:rsidRPr="00A50C8C">
        <w:t>References</w:t>
      </w:r>
      <w:bookmarkEnd w:id="25"/>
    </w:p>
    <w:p w14:paraId="4E05A238" w14:textId="77777777" w:rsidR="00716483" w:rsidRPr="002B4DFD" w:rsidRDefault="00716483" w:rsidP="00716483"/>
    <w:p w14:paraId="492D2E5C" w14:textId="77777777" w:rsidR="00716483" w:rsidRDefault="00716483">
      <w:pPr>
        <w:pStyle w:val="ListParagraph"/>
        <w:numPr>
          <w:ilvl w:val="0"/>
          <w:numId w:val="18"/>
        </w:numPr>
      </w:pPr>
      <w:r>
        <w:t xml:space="preserve">BHIVA Standards of Care for People living with HIV (BHIVA, 2018). Available at: </w:t>
      </w:r>
      <w:hyperlink r:id="rId11" w:history="1"/>
      <w:hyperlink r:id="rId12" w:history="1">
        <w:r>
          <w:rPr>
            <w:rStyle w:val="Hyperlink"/>
          </w:rPr>
          <w:t>British HIV Association Standards of care for people living with HIV 2018 (bhiva.org)</w:t>
        </w:r>
      </w:hyperlink>
    </w:p>
    <w:p w14:paraId="65586E77" w14:textId="77777777" w:rsidR="00716483" w:rsidRDefault="00716483">
      <w:pPr>
        <w:pStyle w:val="ListParagraph"/>
        <w:numPr>
          <w:ilvl w:val="0"/>
          <w:numId w:val="18"/>
        </w:numPr>
      </w:pPr>
      <w:r>
        <w:t>BDA Post Registration Professional Development Framework (</w:t>
      </w:r>
      <w:r w:rsidRPr="00BA160D">
        <w:t>BDA</w:t>
      </w:r>
      <w:r>
        <w:t xml:space="preserve">, 2021). Available at: </w:t>
      </w:r>
      <w:hyperlink r:id="rId13" w:history="1">
        <w:r>
          <w:rPr>
            <w:rStyle w:val="Hyperlink"/>
          </w:rPr>
          <w:t>Post-Registration-Professional-Development-Framework.pdf (bda.uk.com)</w:t>
        </w:r>
      </w:hyperlink>
      <w:r>
        <w:t xml:space="preserve">  </w:t>
      </w:r>
    </w:p>
    <w:p w14:paraId="0C92AC6A" w14:textId="77777777" w:rsidR="00716483" w:rsidRDefault="00716483">
      <w:pPr>
        <w:pStyle w:val="ListParagraph"/>
        <w:numPr>
          <w:ilvl w:val="0"/>
          <w:numId w:val="18"/>
        </w:numPr>
      </w:pPr>
      <w:r>
        <w:t xml:space="preserve">BDA HIV Care Specialist Group: </w:t>
      </w:r>
      <w:hyperlink r:id="rId14" w:history="1">
        <w:r>
          <w:rPr>
            <w:rStyle w:val="Hyperlink"/>
          </w:rPr>
          <w:t>HIV Care Specialist Group | British Dietetic Association (BDA)</w:t>
        </w:r>
      </w:hyperlink>
    </w:p>
    <w:p w14:paraId="71ED2889" w14:textId="3E6BAB54" w:rsidR="00716483" w:rsidRDefault="00716483">
      <w:pPr>
        <w:pStyle w:val="ListParagraph"/>
        <w:numPr>
          <w:ilvl w:val="0"/>
          <w:numId w:val="18"/>
        </w:numPr>
      </w:pPr>
      <w:r>
        <w:t>Dietitians in HIV/AIDS. DHIVA competency framework: for dietitians working with patients living with HIV. DHIVA, 2014. Available at: dhiva.org.uk/wp-content/uploads/2013/01/DHIVA_Competencies_Jan_14.pdf</w:t>
      </w:r>
      <w:r w:rsidR="00E06F2D">
        <w:t xml:space="preserve">  </w:t>
      </w:r>
      <w:r>
        <w:t xml:space="preserve"> </w:t>
      </w:r>
    </w:p>
    <w:p w14:paraId="3238FB4B" w14:textId="77777777" w:rsidR="00716483" w:rsidRPr="00535F28" w:rsidRDefault="00716483">
      <w:pPr>
        <w:pStyle w:val="ListParagraph"/>
        <w:numPr>
          <w:ilvl w:val="0"/>
          <w:numId w:val="18"/>
        </w:numPr>
        <w:rPr>
          <w:rStyle w:val="CommentReference"/>
          <w:sz w:val="22"/>
          <w:szCs w:val="22"/>
        </w:rPr>
      </w:pPr>
      <w:r>
        <w:t>The Model and Process of Dietetic Practice</w:t>
      </w:r>
      <w:r w:rsidRPr="00BA160D">
        <w:t xml:space="preserve"> (BDA, 20</w:t>
      </w:r>
      <w:r>
        <w:t>21</w:t>
      </w:r>
      <w:r w:rsidRPr="00BA160D">
        <w:t>)</w:t>
      </w:r>
      <w:r>
        <w:t>.</w:t>
      </w:r>
      <w:r w:rsidRPr="0084178B">
        <w:t xml:space="preserve"> </w:t>
      </w:r>
      <w:r>
        <w:t xml:space="preserve">Available at: </w:t>
      </w:r>
      <w:hyperlink r:id="rId15" w:history="1">
        <w:r w:rsidRPr="00D66764">
          <w:rPr>
            <w:color w:val="0000FF"/>
            <w:u w:val="single"/>
          </w:rPr>
          <w:t>The Model and Process | British Dietetic Association (BDA)</w:t>
        </w:r>
      </w:hyperlink>
    </w:p>
    <w:p w14:paraId="4F0D38E6" w14:textId="77777777" w:rsidR="00716483" w:rsidRDefault="00716483">
      <w:pPr>
        <w:pStyle w:val="ListParagraph"/>
        <w:numPr>
          <w:ilvl w:val="0"/>
          <w:numId w:val="18"/>
        </w:numPr>
      </w:pPr>
      <w:r>
        <w:t>Dietetic Support Worker and Assistant Practitioner Competency Framework (BDA, 2014).</w:t>
      </w:r>
      <w:r w:rsidRPr="0084178B">
        <w:t xml:space="preserve"> </w:t>
      </w:r>
      <w:r>
        <w:t xml:space="preserve">Available at: </w:t>
      </w:r>
      <w:hyperlink r:id="rId16" w:history="1">
        <w:r>
          <w:rPr>
            <w:rStyle w:val="Hyperlink"/>
          </w:rPr>
          <w:t>Health-Education-England-DSW-and-AP-Framework-2014.pdf (bda.uk.com)</w:t>
        </w:r>
      </w:hyperlink>
      <w:r>
        <w:t xml:space="preserve"> </w:t>
      </w:r>
    </w:p>
    <w:p w14:paraId="494CA26D" w14:textId="276007A0" w:rsidR="00716483" w:rsidRPr="00535F28" w:rsidRDefault="00716483">
      <w:pPr>
        <w:pStyle w:val="ListParagraph"/>
        <w:numPr>
          <w:ilvl w:val="0"/>
          <w:numId w:val="18"/>
        </w:numPr>
        <w:rPr>
          <w:rFonts w:cs="Calibri"/>
        </w:rPr>
      </w:pPr>
      <w:r w:rsidRPr="00535F28">
        <w:rPr>
          <w:rFonts w:cs="Calibri"/>
        </w:rPr>
        <w:t>UK Obesity Care Competency framework</w:t>
      </w:r>
      <w:r>
        <w:rPr>
          <w:rFonts w:cs="Calibri"/>
        </w:rPr>
        <w:t xml:space="preserve"> -</w:t>
      </w:r>
      <w:r w:rsidRPr="00535F28">
        <w:rPr>
          <w:rFonts w:cs="Calibri"/>
        </w:rPr>
        <w:t xml:space="preserve"> Capehorn, M.S., Hinchliffe, N., Cook, D. et al. (2022). Recommendations from a Working Group on Obesity Care Competencies for Healthcare Education in the UK: A Report by the Steering Committee. Adv Ther 39, 3019–3030 </w:t>
      </w:r>
      <w:hyperlink r:id="rId17" w:history="1">
        <w:r w:rsidRPr="002A3935">
          <w:rPr>
            <w:rStyle w:val="Hyperlink"/>
            <w:rFonts w:cs="Calibri"/>
          </w:rPr>
          <w:t>https://doi.org/10.1007/s12325-022-02108-2s</w:t>
        </w:r>
      </w:hyperlink>
      <w:r>
        <w:rPr>
          <w:rFonts w:cs="Calibri"/>
        </w:rPr>
        <w:t xml:space="preserve">  </w:t>
      </w:r>
    </w:p>
    <w:p w14:paraId="47DBA658" w14:textId="05323319" w:rsidR="002C0838" w:rsidRDefault="00716483">
      <w:pPr>
        <w:pStyle w:val="ListParagraph"/>
        <w:numPr>
          <w:ilvl w:val="0"/>
          <w:numId w:val="18"/>
        </w:numPr>
        <w:rPr>
          <w:rStyle w:val="Hyperlink"/>
        </w:rPr>
      </w:pPr>
      <w:r>
        <w:t xml:space="preserve">BDA Diabetes Specialist Group Dietetic Competency Framework for Dietitians Working in the Area of Diabetes (2021). Available at: </w:t>
      </w:r>
      <w:hyperlink r:id="rId18" w:history="1">
        <w:r>
          <w:rPr>
            <w:rStyle w:val="Hyperlink"/>
          </w:rPr>
          <w:t>Dietetic Competency Framework | British Dietetic Association (BDA)</w:t>
        </w:r>
      </w:hyperlink>
    </w:p>
    <w:p w14:paraId="59FC93DD" w14:textId="77777777" w:rsidR="00854BBA" w:rsidRPr="008940FF" w:rsidRDefault="00854BBA" w:rsidP="00854BBA">
      <w:pPr>
        <w:pStyle w:val="ListParagraph"/>
        <w:numPr>
          <w:ilvl w:val="0"/>
          <w:numId w:val="18"/>
        </w:numPr>
        <w:spacing w:after="200" w:line="276" w:lineRule="auto"/>
      </w:pPr>
      <w:r w:rsidRPr="003F3169">
        <w:t>European AIDS Clinical Society Guidelines 2021. HIV Med. 2022 Sep;23(8):849-858. doi: 10.1111/hiv.</w:t>
      </w:r>
      <w:r>
        <w:t xml:space="preserve"> </w:t>
      </w:r>
      <w:hyperlink r:id="rId19" w:history="1">
        <w:r>
          <w:rPr>
            <w:rStyle w:val="Hyperlink"/>
          </w:rPr>
          <w:t>guidelines-11.1_final_09-10.pdf (eacsociety.org)</w:t>
        </w:r>
      </w:hyperlink>
    </w:p>
    <w:p w14:paraId="79AED32E" w14:textId="1EF5CB9E" w:rsidR="00BE4CA4" w:rsidRPr="00E06F2D" w:rsidRDefault="00BE4CA4" w:rsidP="00BE4CA4">
      <w:pPr>
        <w:pStyle w:val="ListParagraph"/>
        <w:numPr>
          <w:ilvl w:val="0"/>
          <w:numId w:val="18"/>
        </w:numPr>
        <w:rPr>
          <w:u w:val="single"/>
        </w:rPr>
      </w:pPr>
      <w:r>
        <w:rPr>
          <w:rFonts w:eastAsia="Times New Roman"/>
        </w:rPr>
        <w:t xml:space="preserve">Management of dyslipidaemia in HIV infected children: rationale for treatment algorithm (CHIVA, 2017). </w:t>
      </w:r>
      <w:r>
        <w:t>Available at:</w:t>
      </w:r>
      <w:r>
        <w:rPr>
          <w:rFonts w:eastAsia="Times New Roman"/>
        </w:rPr>
        <w:t xml:space="preserve"> </w:t>
      </w:r>
      <w:hyperlink r:id="rId20" w:history="1">
        <w:r w:rsidRPr="004F7DC0">
          <w:rPr>
            <w:rStyle w:val="Hyperlink"/>
            <w:rFonts w:eastAsia="Times New Roman"/>
          </w:rPr>
          <w:t>https://www.chiva.org.uk/wp-content/uploads/2022/02/Management_of_dyslipidaemia.pdf</w:t>
        </w:r>
      </w:hyperlink>
      <w:r>
        <w:rPr>
          <w:rFonts w:eastAsia="Times New Roman"/>
        </w:rPr>
        <w:t xml:space="preserve"> </w:t>
      </w:r>
    </w:p>
    <w:p w14:paraId="2F0D52F5" w14:textId="77777777" w:rsidR="00E06F2D" w:rsidRPr="00BE4CA4" w:rsidRDefault="00E06F2D" w:rsidP="00E06F2D">
      <w:pPr>
        <w:pStyle w:val="ListParagraph"/>
        <w:numPr>
          <w:ilvl w:val="0"/>
          <w:numId w:val="18"/>
        </w:numPr>
        <w:rPr>
          <w:rStyle w:val="Hyperlink"/>
        </w:rPr>
      </w:pPr>
      <w:r>
        <w:t>BHIVA guidelines on antiretroviral treatment for adults living with HIV-1 2022 (BHIVA, 2022).</w:t>
      </w:r>
      <w:r w:rsidRPr="00BE4CA4">
        <w:t xml:space="preserve"> </w:t>
      </w:r>
      <w:r>
        <w:t xml:space="preserve">Available at: </w:t>
      </w:r>
      <w:hyperlink r:id="rId21" w:history="1">
        <w:r>
          <w:rPr>
            <w:rStyle w:val="Hyperlink"/>
          </w:rPr>
          <w:t>BHIVA-guidelines-on-antiretroviral-treatment-for-adults-living-with-HIV-1-2022.pdf</w:t>
        </w:r>
      </w:hyperlink>
      <w:r>
        <w:t xml:space="preserve"> </w:t>
      </w:r>
    </w:p>
    <w:p w14:paraId="56912D96" w14:textId="77777777" w:rsidR="00E06F2D" w:rsidRPr="00BE4CA4" w:rsidRDefault="00E06F2D" w:rsidP="00E06F2D">
      <w:pPr>
        <w:pStyle w:val="ListParagraph"/>
        <w:rPr>
          <w:rStyle w:val="Hyperlink"/>
          <w:color w:val="auto"/>
        </w:rPr>
      </w:pPr>
    </w:p>
    <w:p w14:paraId="2C9BA61D" w14:textId="69EED45F" w:rsidR="005042D3" w:rsidRPr="00E06F2D" w:rsidRDefault="002C0838" w:rsidP="00E06F2D">
      <w:pPr>
        <w:spacing w:after="200" w:line="276" w:lineRule="auto"/>
        <w:rPr>
          <w:color w:val="0000FF" w:themeColor="hyperlink"/>
          <w:u w:val="single"/>
        </w:rPr>
      </w:pPr>
      <w:r>
        <w:rPr>
          <w:rStyle w:val="Hyperlink"/>
        </w:rPr>
        <w:br w:type="page"/>
      </w:r>
    </w:p>
    <w:p w14:paraId="768D671C" w14:textId="717F7182" w:rsidR="00A50C8C" w:rsidRDefault="000526F5">
      <w:pPr>
        <w:pStyle w:val="Heading1"/>
        <w:numPr>
          <w:ilvl w:val="0"/>
          <w:numId w:val="19"/>
        </w:numPr>
      </w:pPr>
      <w:bookmarkStart w:id="26" w:name="_Toc125983097"/>
      <w:r>
        <w:t>Appendix</w:t>
      </w:r>
      <w:r w:rsidR="00CA1DE1">
        <w:t xml:space="preserve"> 1</w:t>
      </w:r>
      <w:r w:rsidR="00E34444">
        <w:t xml:space="preserve">: </w:t>
      </w:r>
      <w:r w:rsidR="00A50C8C" w:rsidRPr="00A50C8C">
        <w:t>Examples of Evidence</w:t>
      </w:r>
      <w:bookmarkEnd w:id="26"/>
    </w:p>
    <w:p w14:paraId="508E7753" w14:textId="77777777" w:rsidR="005B34BD" w:rsidRPr="005B34BD" w:rsidRDefault="005B34BD" w:rsidP="005B34BD"/>
    <w:p w14:paraId="064BF66C" w14:textId="47C82342" w:rsidR="00FA1305" w:rsidRDefault="00E34444" w:rsidP="00FA1305">
      <w:r>
        <w:t>To</w:t>
      </w:r>
      <w:r w:rsidR="00FA1305">
        <w:t xml:space="preserve"> demonstrate competency in the skills </w:t>
      </w:r>
      <w:r w:rsidR="008F6BFD">
        <w:t xml:space="preserve">and knowledge </w:t>
      </w:r>
      <w:r w:rsidR="00FA1305">
        <w:t>described in the above document</w:t>
      </w:r>
      <w:r>
        <w:t>,</w:t>
      </w:r>
      <w:r w:rsidR="00FA1305">
        <w:t xml:space="preserve"> evidence should be obta</w:t>
      </w:r>
      <w:r w:rsidR="008F6BFD">
        <w:t xml:space="preserve">ined from a variety of sources. Examples of evidence </w:t>
      </w:r>
      <w:r w:rsidR="00D847DC">
        <w:t>ha</w:t>
      </w:r>
      <w:r w:rsidR="008F6BFD">
        <w:t>ve</w:t>
      </w:r>
      <w:r w:rsidR="00D847DC">
        <w:t xml:space="preserve"> been </w:t>
      </w:r>
      <w:r w:rsidR="008F6BFD">
        <w:t xml:space="preserve">categorised </w:t>
      </w:r>
      <w:r w:rsidR="00D847DC">
        <w:t>according to the 4 pillars of practice in the BDA Framework</w:t>
      </w:r>
      <w:r w:rsidR="00623EAC">
        <w:rPr>
          <w:vertAlign w:val="superscript"/>
        </w:rPr>
        <w:t>(2)</w:t>
      </w:r>
      <w:r w:rsidR="00623EAC">
        <w:t>.</w:t>
      </w:r>
      <w:r w:rsidR="00D847DC">
        <w:t xml:space="preserve"> </w:t>
      </w:r>
      <w:r w:rsidR="00FA1305">
        <w:t>The same piece of evidence may be used to demonstrate a large number of individual competencies but overall, the dietitian should seek to use a variety of forms of evidence to demonstrate skills</w:t>
      </w:r>
      <w:r w:rsidR="00221545">
        <w:t>, knowledge</w:t>
      </w:r>
      <w:r w:rsidR="00FA1305">
        <w:t xml:space="preserve"> and professional practice. This list is not exhaustive but aims to provide ideas of where to start</w:t>
      </w:r>
      <w:r w:rsidR="00F70963">
        <w:t>.</w:t>
      </w:r>
    </w:p>
    <w:p w14:paraId="42C1F66B" w14:textId="61F55692" w:rsidR="00832603" w:rsidRDefault="00832603" w:rsidP="008F6BFD">
      <w:pPr>
        <w:pStyle w:val="Heading3"/>
      </w:pPr>
      <w:bookmarkStart w:id="27" w:name="_Toc119071285"/>
      <w:bookmarkStart w:id="28" w:name="_Toc125983098"/>
      <w:r>
        <w:t xml:space="preserve">Evidence for Practice </w:t>
      </w:r>
      <w:r w:rsidR="006D5AA8">
        <w:t>(Clinical Practice, Service User F</w:t>
      </w:r>
      <w:r>
        <w:t>ocus</w:t>
      </w:r>
      <w:r w:rsidR="006D5AA8">
        <w:t>,</w:t>
      </w:r>
      <w:r>
        <w:t xml:space="preserve"> and Communication)</w:t>
      </w:r>
      <w:bookmarkEnd w:id="27"/>
      <w:bookmarkEnd w:id="28"/>
    </w:p>
    <w:p w14:paraId="2B394B94" w14:textId="74427C61" w:rsidR="00FA1305" w:rsidRDefault="00FA1305">
      <w:pPr>
        <w:pStyle w:val="ListParagraph"/>
        <w:numPr>
          <w:ilvl w:val="0"/>
          <w:numId w:val="11"/>
        </w:numPr>
        <w:spacing w:after="200" w:line="276" w:lineRule="auto"/>
      </w:pPr>
      <w:r>
        <w:t>Peer or supervisor observation</w:t>
      </w:r>
      <w:r w:rsidR="00832603">
        <w:t xml:space="preserve"> of clinic</w:t>
      </w:r>
    </w:p>
    <w:p w14:paraId="50152509" w14:textId="7202BBA9" w:rsidR="00FA1305" w:rsidRDefault="00FA1305">
      <w:pPr>
        <w:pStyle w:val="ListParagraph"/>
        <w:numPr>
          <w:ilvl w:val="0"/>
          <w:numId w:val="11"/>
        </w:numPr>
        <w:spacing w:after="200" w:line="276" w:lineRule="auto"/>
      </w:pPr>
      <w:r>
        <w:t>360</w:t>
      </w:r>
      <w:r w:rsidRPr="00832603">
        <w:rPr>
          <w:rFonts w:cstheme="minorHAnsi"/>
        </w:rPr>
        <w:t>⁰</w:t>
      </w:r>
      <w:r>
        <w:t xml:space="preserve"> feedback</w:t>
      </w:r>
      <w:r w:rsidR="00832603" w:rsidRPr="00832603">
        <w:t xml:space="preserve"> </w:t>
      </w:r>
      <w:r w:rsidR="00832603">
        <w:t>/ Feedback from MDT colleagues</w:t>
      </w:r>
    </w:p>
    <w:p w14:paraId="6B345DF9" w14:textId="65076C14" w:rsidR="00832603" w:rsidRDefault="00FA1305">
      <w:pPr>
        <w:pStyle w:val="ListParagraph"/>
        <w:numPr>
          <w:ilvl w:val="0"/>
          <w:numId w:val="11"/>
        </w:numPr>
        <w:spacing w:after="200" w:line="276" w:lineRule="auto"/>
      </w:pPr>
      <w:bookmarkStart w:id="29" w:name="_Hlk118720826"/>
      <w:r>
        <w:t>Service user feedback</w:t>
      </w:r>
      <w:bookmarkEnd w:id="29"/>
    </w:p>
    <w:p w14:paraId="77FB1CB3" w14:textId="045926DB" w:rsidR="00832603" w:rsidRDefault="00832603">
      <w:pPr>
        <w:pStyle w:val="ListParagraph"/>
        <w:numPr>
          <w:ilvl w:val="0"/>
          <w:numId w:val="12"/>
        </w:numPr>
        <w:spacing w:after="200" w:line="276" w:lineRule="auto"/>
      </w:pPr>
      <w:r>
        <w:t>Case reflections and Case reviews</w:t>
      </w:r>
    </w:p>
    <w:p w14:paraId="7788EE11" w14:textId="77777777" w:rsidR="00832603" w:rsidRDefault="00832603">
      <w:pPr>
        <w:pStyle w:val="ListParagraph"/>
        <w:numPr>
          <w:ilvl w:val="0"/>
          <w:numId w:val="12"/>
        </w:numPr>
        <w:spacing w:after="200" w:line="276" w:lineRule="auto"/>
      </w:pPr>
      <w:r>
        <w:t>Anonymised patient records</w:t>
      </w:r>
    </w:p>
    <w:p w14:paraId="2541DC6B" w14:textId="210304F8" w:rsidR="00832603" w:rsidRPr="008F6BFD" w:rsidRDefault="00832603">
      <w:pPr>
        <w:pStyle w:val="ListParagraph"/>
        <w:numPr>
          <w:ilvl w:val="0"/>
          <w:numId w:val="12"/>
        </w:numPr>
        <w:spacing w:after="200" w:line="276" w:lineRule="auto"/>
        <w:rPr>
          <w:color w:val="808080" w:themeColor="text1" w:themeTint="7F"/>
        </w:rPr>
      </w:pPr>
      <w:r>
        <w:t>Completion of relevant study days e.g.  Introdu</w:t>
      </w:r>
      <w:r w:rsidR="006D5AA8">
        <w:t>ction to HIV study day, run by d</w:t>
      </w:r>
      <w:r>
        <w:t>ietitia</w:t>
      </w:r>
      <w:r w:rsidR="006D5AA8">
        <w:t xml:space="preserve">ns in </w:t>
      </w:r>
      <w:r w:rsidR="00227CB0">
        <w:t xml:space="preserve">the </w:t>
      </w:r>
      <w:r w:rsidR="006D5AA8">
        <w:t>BDA HIV Care Specialist G</w:t>
      </w:r>
      <w:r>
        <w:t>roup</w:t>
      </w:r>
    </w:p>
    <w:p w14:paraId="20826AEF" w14:textId="4FB921B3" w:rsidR="00FA1305" w:rsidRDefault="00FA1305">
      <w:pPr>
        <w:pStyle w:val="ListParagraph"/>
        <w:numPr>
          <w:ilvl w:val="0"/>
          <w:numId w:val="11"/>
        </w:numPr>
        <w:spacing w:after="200" w:line="276" w:lineRule="auto"/>
      </w:pPr>
      <w:r>
        <w:t xml:space="preserve">Attendance </w:t>
      </w:r>
      <w:r w:rsidR="00221545">
        <w:t xml:space="preserve">at </w:t>
      </w:r>
      <w:r>
        <w:t>communication skills or behaviour change training</w:t>
      </w:r>
    </w:p>
    <w:p w14:paraId="418A2F92" w14:textId="0C4EADC4" w:rsidR="00FA1305" w:rsidRDefault="00FA1305">
      <w:pPr>
        <w:pStyle w:val="ListParagraph"/>
        <w:numPr>
          <w:ilvl w:val="0"/>
          <w:numId w:val="12"/>
        </w:numPr>
        <w:spacing w:after="200" w:line="276" w:lineRule="auto"/>
      </w:pPr>
      <w:r>
        <w:t xml:space="preserve">Resources developed </w:t>
      </w:r>
      <w:r w:rsidR="00623EAC">
        <w:t>e.g.,</w:t>
      </w:r>
      <w:r>
        <w:t xml:space="preserve"> screening tools, referral guidelines, protocols, diet sheets</w:t>
      </w:r>
    </w:p>
    <w:p w14:paraId="2C51DF1C" w14:textId="5455935A" w:rsidR="00832603" w:rsidRPr="00832603" w:rsidRDefault="00832603" w:rsidP="008F6BFD">
      <w:pPr>
        <w:pStyle w:val="Heading3"/>
      </w:pPr>
      <w:bookmarkStart w:id="30" w:name="_Toc119071286"/>
      <w:bookmarkStart w:id="31" w:name="_Toc125983099"/>
      <w:r>
        <w:t xml:space="preserve">Evidence </w:t>
      </w:r>
      <w:r w:rsidR="00F70963">
        <w:t>for</w:t>
      </w:r>
      <w:r>
        <w:t xml:space="preserve"> Evidence Based Practice and Research</w:t>
      </w:r>
      <w:bookmarkEnd w:id="30"/>
      <w:bookmarkEnd w:id="31"/>
    </w:p>
    <w:p w14:paraId="4C12F16E" w14:textId="77777777" w:rsidR="00D847DC" w:rsidRDefault="00D847DC">
      <w:pPr>
        <w:pStyle w:val="ListParagraph"/>
        <w:numPr>
          <w:ilvl w:val="0"/>
          <w:numId w:val="12"/>
        </w:numPr>
        <w:spacing w:after="0" w:line="276" w:lineRule="auto"/>
      </w:pPr>
      <w:r w:rsidRPr="004E032B">
        <w:t>Reading record</w:t>
      </w:r>
    </w:p>
    <w:p w14:paraId="13093273" w14:textId="5EFEBE9E" w:rsidR="00D847DC" w:rsidRDefault="00D847DC">
      <w:pPr>
        <w:pStyle w:val="ListParagraph"/>
        <w:numPr>
          <w:ilvl w:val="0"/>
          <w:numId w:val="12"/>
        </w:numPr>
        <w:spacing w:after="0" w:line="276" w:lineRule="auto"/>
      </w:pPr>
      <w:r w:rsidRPr="004E032B">
        <w:t xml:space="preserve">Participation in </w:t>
      </w:r>
      <w:r>
        <w:t>j</w:t>
      </w:r>
      <w:r w:rsidRPr="004E032B">
        <w:t>ournal review</w:t>
      </w:r>
      <w:r w:rsidRPr="00F70963">
        <w:t xml:space="preserve"> </w:t>
      </w:r>
    </w:p>
    <w:p w14:paraId="2D4300A6" w14:textId="77777777" w:rsidR="00D847DC" w:rsidRPr="004E032B" w:rsidRDefault="00D847DC">
      <w:pPr>
        <w:pStyle w:val="ListParagraph"/>
        <w:numPr>
          <w:ilvl w:val="0"/>
          <w:numId w:val="12"/>
        </w:numPr>
        <w:spacing w:after="0" w:line="276" w:lineRule="auto"/>
      </w:pPr>
      <w:r>
        <w:t xml:space="preserve">Developing </w:t>
      </w:r>
      <w:r w:rsidRPr="004E032B">
        <w:t>outcome</w:t>
      </w:r>
      <w:r>
        <w:t xml:space="preserve"> measures to show effectiveness of practice</w:t>
      </w:r>
    </w:p>
    <w:p w14:paraId="0A4A0C51" w14:textId="53547C8C" w:rsidR="00D847DC" w:rsidRDefault="00D847DC">
      <w:pPr>
        <w:pStyle w:val="ListParagraph"/>
        <w:numPr>
          <w:ilvl w:val="0"/>
          <w:numId w:val="12"/>
        </w:numPr>
        <w:spacing w:after="0" w:line="276" w:lineRule="auto"/>
      </w:pPr>
      <w:r w:rsidRPr="004E032B">
        <w:t>Critical appraisal of</w:t>
      </w:r>
      <w:r>
        <w:t xml:space="preserve"> a</w:t>
      </w:r>
      <w:r w:rsidRPr="004E032B">
        <w:t xml:space="preserve"> research</w:t>
      </w:r>
      <w:r>
        <w:t xml:space="preserve"> journal article</w:t>
      </w:r>
    </w:p>
    <w:p w14:paraId="23F64432" w14:textId="6F3974FD" w:rsidR="00832603" w:rsidRPr="004E032B" w:rsidRDefault="00832603">
      <w:pPr>
        <w:pStyle w:val="ListParagraph"/>
        <w:numPr>
          <w:ilvl w:val="0"/>
          <w:numId w:val="12"/>
        </w:numPr>
        <w:spacing w:after="0" w:line="276" w:lineRule="auto"/>
      </w:pPr>
      <w:r w:rsidRPr="004E032B">
        <w:t>Evidence of audit participation</w:t>
      </w:r>
    </w:p>
    <w:p w14:paraId="39A30543" w14:textId="77777777" w:rsidR="00832603" w:rsidRPr="004E032B" w:rsidRDefault="00832603">
      <w:pPr>
        <w:pStyle w:val="ListParagraph"/>
        <w:numPr>
          <w:ilvl w:val="0"/>
          <w:numId w:val="12"/>
        </w:numPr>
        <w:spacing w:after="0" w:line="276" w:lineRule="auto"/>
      </w:pPr>
      <w:r w:rsidRPr="004E032B">
        <w:t>Audit proposals and reports</w:t>
      </w:r>
    </w:p>
    <w:p w14:paraId="068E9ED0" w14:textId="5B4F3628" w:rsidR="00FA1305" w:rsidRPr="004E032B" w:rsidRDefault="00D847DC">
      <w:pPr>
        <w:pStyle w:val="ListParagraph"/>
        <w:numPr>
          <w:ilvl w:val="0"/>
          <w:numId w:val="12"/>
        </w:numPr>
        <w:spacing w:after="0" w:line="276" w:lineRule="auto"/>
      </w:pPr>
      <w:r>
        <w:t>Research Proposals</w:t>
      </w:r>
    </w:p>
    <w:p w14:paraId="4B243E4E" w14:textId="721306F4" w:rsidR="00D847DC" w:rsidRDefault="00832603">
      <w:pPr>
        <w:pStyle w:val="ListParagraph"/>
        <w:numPr>
          <w:ilvl w:val="0"/>
          <w:numId w:val="12"/>
        </w:numPr>
        <w:spacing w:after="0" w:line="276" w:lineRule="auto"/>
      </w:pPr>
      <w:r w:rsidRPr="004E032B">
        <w:t>Abstracts/posters presented to conferences</w:t>
      </w:r>
    </w:p>
    <w:p w14:paraId="44C32030" w14:textId="5705EA4E" w:rsidR="00D847DC" w:rsidRDefault="00D847DC">
      <w:pPr>
        <w:pStyle w:val="ListParagraph"/>
        <w:numPr>
          <w:ilvl w:val="0"/>
          <w:numId w:val="12"/>
        </w:numPr>
        <w:spacing w:after="0" w:line="276" w:lineRule="auto"/>
      </w:pPr>
      <w:r>
        <w:t>Published research papers</w:t>
      </w:r>
    </w:p>
    <w:p w14:paraId="49D15BE6" w14:textId="77777777" w:rsidR="00832603" w:rsidRDefault="00832603" w:rsidP="00041C0E"/>
    <w:p w14:paraId="59F62FCB" w14:textId="3E186B18" w:rsidR="00832603" w:rsidRPr="004E032B" w:rsidRDefault="00832603" w:rsidP="008F6BFD">
      <w:pPr>
        <w:pStyle w:val="Heading3"/>
      </w:pPr>
      <w:bookmarkStart w:id="32" w:name="_Toc119071287"/>
      <w:bookmarkStart w:id="33" w:name="_Toc125983100"/>
      <w:r>
        <w:t>Evidence for Facilitated Learning</w:t>
      </w:r>
      <w:bookmarkEnd w:id="32"/>
      <w:bookmarkEnd w:id="33"/>
      <w:r>
        <w:t xml:space="preserve"> </w:t>
      </w:r>
    </w:p>
    <w:p w14:paraId="73D9A479" w14:textId="77777777" w:rsidR="00832603" w:rsidRDefault="00832603">
      <w:pPr>
        <w:pStyle w:val="ListParagraph"/>
        <w:numPr>
          <w:ilvl w:val="0"/>
          <w:numId w:val="12"/>
        </w:numPr>
        <w:spacing w:after="0" w:line="276" w:lineRule="auto"/>
      </w:pPr>
      <w:r w:rsidRPr="004E032B">
        <w:t xml:space="preserve">Supervision records and personal development plans </w:t>
      </w:r>
    </w:p>
    <w:p w14:paraId="5084791F" w14:textId="3D6F59ED" w:rsidR="00FA1305" w:rsidRPr="004E032B" w:rsidRDefault="00FA1305">
      <w:pPr>
        <w:pStyle w:val="ListParagraph"/>
        <w:numPr>
          <w:ilvl w:val="0"/>
          <w:numId w:val="12"/>
        </w:numPr>
        <w:spacing w:after="0" w:line="276" w:lineRule="auto"/>
      </w:pPr>
      <w:r w:rsidRPr="004E032B">
        <w:t>Reflections on student supervision</w:t>
      </w:r>
    </w:p>
    <w:p w14:paraId="052781F7" w14:textId="77777777" w:rsidR="00FA1305" w:rsidRPr="004E032B" w:rsidRDefault="00FA1305">
      <w:pPr>
        <w:pStyle w:val="ListParagraph"/>
        <w:numPr>
          <w:ilvl w:val="0"/>
          <w:numId w:val="12"/>
        </w:numPr>
        <w:spacing w:after="0" w:line="276" w:lineRule="auto"/>
      </w:pPr>
      <w:r w:rsidRPr="004E032B">
        <w:t>Feedback from students or supervisees</w:t>
      </w:r>
    </w:p>
    <w:p w14:paraId="57B1A331" w14:textId="77777777" w:rsidR="00FA1305" w:rsidRPr="004E032B" w:rsidRDefault="00FA1305">
      <w:pPr>
        <w:pStyle w:val="ListParagraph"/>
        <w:numPr>
          <w:ilvl w:val="0"/>
          <w:numId w:val="12"/>
        </w:numPr>
        <w:spacing w:after="0" w:line="276" w:lineRule="auto"/>
      </w:pPr>
      <w:r w:rsidRPr="004E032B">
        <w:t>Examples of teaching and training sessions with participant feedback</w:t>
      </w:r>
    </w:p>
    <w:p w14:paraId="77E89838" w14:textId="7C466019" w:rsidR="00F70963" w:rsidRPr="008F6BFD" w:rsidRDefault="00F70963">
      <w:pPr>
        <w:pStyle w:val="ListParagraph"/>
        <w:numPr>
          <w:ilvl w:val="0"/>
          <w:numId w:val="12"/>
        </w:numPr>
        <w:spacing w:after="0" w:line="276" w:lineRule="auto"/>
        <w:rPr>
          <w:color w:val="808080" w:themeColor="text1" w:themeTint="7F"/>
        </w:rPr>
      </w:pPr>
      <w:r>
        <w:t>Active membership of a BDA specialist group</w:t>
      </w:r>
    </w:p>
    <w:p w14:paraId="5A727FA7" w14:textId="152B7941" w:rsidR="00F70963" w:rsidRPr="008F6BFD" w:rsidRDefault="00F70963">
      <w:pPr>
        <w:pStyle w:val="ListParagraph"/>
        <w:numPr>
          <w:ilvl w:val="0"/>
          <w:numId w:val="12"/>
        </w:numPr>
        <w:spacing w:after="0" w:line="276" w:lineRule="auto"/>
        <w:rPr>
          <w:rStyle w:val="SubtleEmphasis"/>
          <w:i w:val="0"/>
          <w:iCs w:val="0"/>
          <w:color w:val="auto"/>
        </w:rPr>
      </w:pPr>
      <w:r w:rsidRPr="008F6BFD">
        <w:rPr>
          <w:rStyle w:val="SubtleEmphasis"/>
          <w:i w:val="0"/>
          <w:iCs w:val="0"/>
          <w:color w:val="auto"/>
        </w:rPr>
        <w:t>Teaching and training patient groups</w:t>
      </w:r>
    </w:p>
    <w:p w14:paraId="29B98B3E" w14:textId="497374AF" w:rsidR="00A50C8C" w:rsidRPr="00A50C8C" w:rsidRDefault="00F70963">
      <w:pPr>
        <w:pStyle w:val="ListParagraph"/>
        <w:numPr>
          <w:ilvl w:val="0"/>
          <w:numId w:val="12"/>
        </w:numPr>
        <w:spacing w:after="0" w:line="276" w:lineRule="auto"/>
      </w:pPr>
      <w:r>
        <w:t>Teaching and training of colleagues</w:t>
      </w:r>
    </w:p>
    <w:p w14:paraId="4BC2E734" w14:textId="77777777" w:rsidR="00F70963" w:rsidRDefault="00F70963" w:rsidP="00041C0E"/>
    <w:p w14:paraId="09F927C9" w14:textId="3B75D7A5" w:rsidR="00F70963" w:rsidRDefault="00F70963" w:rsidP="008F6BFD">
      <w:pPr>
        <w:pStyle w:val="Heading3"/>
      </w:pPr>
      <w:bookmarkStart w:id="34" w:name="_Toc119071288"/>
      <w:bookmarkStart w:id="35" w:name="_Toc125983101"/>
      <w:r>
        <w:t>Evidence for Leadership</w:t>
      </w:r>
      <w:bookmarkEnd w:id="34"/>
      <w:bookmarkEnd w:id="35"/>
    </w:p>
    <w:p w14:paraId="57972772" w14:textId="29E0E1FC" w:rsidR="00F70963" w:rsidRDefault="00F70963">
      <w:pPr>
        <w:pStyle w:val="ListParagraph"/>
        <w:numPr>
          <w:ilvl w:val="0"/>
          <w:numId w:val="20"/>
        </w:numPr>
      </w:pPr>
      <w:r>
        <w:t>Colleague Feedback on participation in MDT meetings</w:t>
      </w:r>
    </w:p>
    <w:p w14:paraId="334A56DE" w14:textId="62F2BF87" w:rsidR="00F70963" w:rsidRDefault="00F70963">
      <w:pPr>
        <w:pStyle w:val="ListParagraph"/>
        <w:numPr>
          <w:ilvl w:val="0"/>
          <w:numId w:val="20"/>
        </w:numPr>
      </w:pPr>
      <w:r>
        <w:t xml:space="preserve">Examples </w:t>
      </w:r>
      <w:r w:rsidR="00D847DC">
        <w:t xml:space="preserve">of </w:t>
      </w:r>
      <w:r>
        <w:t>service evaluation and improvement work</w:t>
      </w:r>
    </w:p>
    <w:p w14:paraId="2FF6219F" w14:textId="75F8D29E" w:rsidR="00F70963" w:rsidRDefault="00F70963">
      <w:pPr>
        <w:pStyle w:val="ListParagraph"/>
        <w:numPr>
          <w:ilvl w:val="0"/>
          <w:numId w:val="20"/>
        </w:numPr>
      </w:pPr>
      <w:r>
        <w:t>Participation in and/or chairing of working groups</w:t>
      </w:r>
    </w:p>
    <w:p w14:paraId="65B4E76A" w14:textId="1890C224" w:rsidR="00623EAC" w:rsidRDefault="00623EAC">
      <w:pPr>
        <w:pStyle w:val="ListParagraph"/>
        <w:numPr>
          <w:ilvl w:val="0"/>
          <w:numId w:val="20"/>
        </w:numPr>
      </w:pPr>
      <w:r>
        <w:t>Development of referral guidance or care pathways</w:t>
      </w:r>
    </w:p>
    <w:p w14:paraId="36CD4EC1" w14:textId="29E4852D" w:rsidR="00D847DC" w:rsidRDefault="00D847DC">
      <w:pPr>
        <w:pStyle w:val="ListParagraph"/>
        <w:numPr>
          <w:ilvl w:val="0"/>
          <w:numId w:val="20"/>
        </w:numPr>
      </w:pPr>
      <w:r>
        <w:t>Promotion of the role of the dietitian within the MDT</w:t>
      </w:r>
    </w:p>
    <w:p w14:paraId="3ED5CB11" w14:textId="25AF6F00" w:rsidR="00D847DC" w:rsidRDefault="00D847DC">
      <w:pPr>
        <w:pStyle w:val="ListParagraph"/>
        <w:numPr>
          <w:ilvl w:val="0"/>
          <w:numId w:val="20"/>
        </w:numPr>
      </w:pPr>
      <w:r>
        <w:t>Promotion of dietetics and nutrition within workplace, regionally and nationally</w:t>
      </w:r>
    </w:p>
    <w:p w14:paraId="608C6748" w14:textId="6197108F" w:rsidR="00D847DC" w:rsidRPr="00F70963" w:rsidRDefault="00D847DC">
      <w:pPr>
        <w:pStyle w:val="ListParagraph"/>
        <w:numPr>
          <w:ilvl w:val="0"/>
          <w:numId w:val="20"/>
        </w:numPr>
      </w:pPr>
      <w:r>
        <w:t>Business development cases to develop dietetic service</w:t>
      </w:r>
    </w:p>
    <w:p w14:paraId="0450D4BA" w14:textId="77247467" w:rsidR="00535F28" w:rsidRDefault="00535F28" w:rsidP="006D5AA8">
      <w:pPr>
        <w:pStyle w:val="Heading3"/>
      </w:pPr>
    </w:p>
    <w:p w14:paraId="4C929BC9" w14:textId="2F6F5E57" w:rsidR="00D54E6F" w:rsidRPr="00D54E6F" w:rsidRDefault="00D54E6F" w:rsidP="00D54E6F">
      <w:pPr>
        <w:rPr>
          <w:rFonts w:asciiTheme="majorHAnsi" w:eastAsiaTheme="majorEastAsia" w:hAnsiTheme="majorHAnsi" w:cstheme="majorBidi"/>
          <w:color w:val="243F60" w:themeColor="accent1" w:themeShade="7F"/>
          <w:sz w:val="24"/>
          <w:szCs w:val="24"/>
        </w:rPr>
      </w:pPr>
    </w:p>
    <w:p w14:paraId="5E82EDCB" w14:textId="6D715076" w:rsidR="00D54E6F" w:rsidRPr="00D54E6F" w:rsidRDefault="00D54E6F" w:rsidP="00D54E6F"/>
    <w:sectPr w:rsidR="00D54E6F" w:rsidRPr="00D54E6F" w:rsidSect="007477B3">
      <w:footerReference w:type="default" r:id="rId22"/>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B46ED" w14:textId="77777777" w:rsidR="00FA151F" w:rsidRDefault="00FA151F" w:rsidP="00144AF6">
      <w:pPr>
        <w:spacing w:after="0" w:line="240" w:lineRule="auto"/>
      </w:pPr>
      <w:r>
        <w:separator/>
      </w:r>
    </w:p>
  </w:endnote>
  <w:endnote w:type="continuationSeparator" w:id="0">
    <w:p w14:paraId="79462A84" w14:textId="77777777" w:rsidR="00FA151F" w:rsidRDefault="00FA151F" w:rsidP="0014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2D418" w14:textId="1D00D66A" w:rsidR="00FA151F" w:rsidRDefault="00FA151F">
    <w:pPr>
      <w:pStyle w:val="Footer"/>
      <w:jc w:val="right"/>
    </w:pPr>
  </w:p>
  <w:p w14:paraId="6E5E2A6E" w14:textId="77777777" w:rsidR="00FA151F" w:rsidRDefault="00FA151F" w:rsidP="00401B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1A41" w14:textId="1B3B316C" w:rsidR="00FA151F" w:rsidRDefault="00FA151F">
    <w:pPr>
      <w:pStyle w:val="Footer"/>
      <w:jc w:val="right"/>
    </w:pPr>
  </w:p>
  <w:p w14:paraId="5004CCF2" w14:textId="77777777" w:rsidR="00FA151F" w:rsidRDefault="00FA1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988744"/>
      <w:docPartObj>
        <w:docPartGallery w:val="Page Numbers (Bottom of Page)"/>
        <w:docPartUnique/>
      </w:docPartObj>
    </w:sdtPr>
    <w:sdtEndPr>
      <w:rPr>
        <w:noProof/>
      </w:rPr>
    </w:sdtEndPr>
    <w:sdtContent>
      <w:p w14:paraId="7BECE941" w14:textId="1789A7ED" w:rsidR="00FA151F" w:rsidRDefault="00FA151F">
        <w:pPr>
          <w:pStyle w:val="Footer"/>
          <w:jc w:val="right"/>
        </w:pPr>
        <w:r>
          <w:fldChar w:fldCharType="begin"/>
        </w:r>
        <w:r>
          <w:instrText xml:space="preserve"> PAGE   \* MERGEFORMAT </w:instrText>
        </w:r>
        <w:r>
          <w:fldChar w:fldCharType="separate"/>
        </w:r>
        <w:r w:rsidR="000F5268">
          <w:rPr>
            <w:noProof/>
          </w:rPr>
          <w:t>2</w:t>
        </w:r>
        <w:r>
          <w:rPr>
            <w:noProof/>
          </w:rPr>
          <w:fldChar w:fldCharType="end"/>
        </w:r>
      </w:p>
    </w:sdtContent>
  </w:sdt>
  <w:p w14:paraId="67351ED6" w14:textId="77777777" w:rsidR="00FA151F" w:rsidRDefault="00FA151F" w:rsidP="00401B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F42A9" w14:textId="77777777" w:rsidR="00FA151F" w:rsidRDefault="00FA151F" w:rsidP="00144AF6">
      <w:pPr>
        <w:spacing w:after="0" w:line="240" w:lineRule="auto"/>
      </w:pPr>
      <w:r>
        <w:separator/>
      </w:r>
    </w:p>
  </w:footnote>
  <w:footnote w:type="continuationSeparator" w:id="0">
    <w:p w14:paraId="592B6007" w14:textId="77777777" w:rsidR="00FA151F" w:rsidRDefault="00FA151F" w:rsidP="00144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BFE"/>
    <w:multiLevelType w:val="hybridMultilevel"/>
    <w:tmpl w:val="A01E2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B5329"/>
    <w:multiLevelType w:val="hybridMultilevel"/>
    <w:tmpl w:val="F5A8E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77E5C"/>
    <w:multiLevelType w:val="hybridMultilevel"/>
    <w:tmpl w:val="CC1C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A37DC"/>
    <w:multiLevelType w:val="hybridMultilevel"/>
    <w:tmpl w:val="8568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50194"/>
    <w:multiLevelType w:val="hybridMultilevel"/>
    <w:tmpl w:val="705A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01DF1"/>
    <w:multiLevelType w:val="hybridMultilevel"/>
    <w:tmpl w:val="F8D47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976A79"/>
    <w:multiLevelType w:val="hybridMultilevel"/>
    <w:tmpl w:val="E5023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8423A1"/>
    <w:multiLevelType w:val="hybridMultilevel"/>
    <w:tmpl w:val="B406F3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6F4E63"/>
    <w:multiLevelType w:val="multilevel"/>
    <w:tmpl w:val="0D3293C2"/>
    <w:styleLink w:val="Style1"/>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5955684"/>
    <w:multiLevelType w:val="hybridMultilevel"/>
    <w:tmpl w:val="A6823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E81350"/>
    <w:multiLevelType w:val="multilevel"/>
    <w:tmpl w:val="29760C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B961DF9"/>
    <w:multiLevelType w:val="hybridMultilevel"/>
    <w:tmpl w:val="825C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476F77"/>
    <w:multiLevelType w:val="multilevel"/>
    <w:tmpl w:val="0809001D"/>
    <w:styleLink w:val="Style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1E3FE3"/>
    <w:multiLevelType w:val="hybridMultilevel"/>
    <w:tmpl w:val="2A766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512C1"/>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340CC9"/>
    <w:multiLevelType w:val="hybridMultilevel"/>
    <w:tmpl w:val="0CFC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7B73E8"/>
    <w:multiLevelType w:val="hybridMultilevel"/>
    <w:tmpl w:val="3D06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893602"/>
    <w:multiLevelType w:val="hybridMultilevel"/>
    <w:tmpl w:val="5E9E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05265"/>
    <w:multiLevelType w:val="hybridMultilevel"/>
    <w:tmpl w:val="8356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85075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753EAC"/>
    <w:multiLevelType w:val="hybridMultilevel"/>
    <w:tmpl w:val="910CEE02"/>
    <w:lvl w:ilvl="0" w:tplc="89C4967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4F6A30"/>
    <w:multiLevelType w:val="hybridMultilevel"/>
    <w:tmpl w:val="0CC68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7061F"/>
    <w:multiLevelType w:val="hybridMultilevel"/>
    <w:tmpl w:val="A532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8C21A2"/>
    <w:multiLevelType w:val="multilevel"/>
    <w:tmpl w:val="08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BD4AB1"/>
    <w:multiLevelType w:val="hybridMultilevel"/>
    <w:tmpl w:val="379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91C32"/>
    <w:multiLevelType w:val="hybridMultilevel"/>
    <w:tmpl w:val="AD46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5"/>
  </w:num>
  <w:num w:numId="4">
    <w:abstractNumId w:val="18"/>
  </w:num>
  <w:num w:numId="5">
    <w:abstractNumId w:val="11"/>
  </w:num>
  <w:num w:numId="6">
    <w:abstractNumId w:val="13"/>
  </w:num>
  <w:num w:numId="7">
    <w:abstractNumId w:val="15"/>
  </w:num>
  <w:num w:numId="8">
    <w:abstractNumId w:val="22"/>
  </w:num>
  <w:num w:numId="9">
    <w:abstractNumId w:val="2"/>
  </w:num>
  <w:num w:numId="10">
    <w:abstractNumId w:val="7"/>
  </w:num>
  <w:num w:numId="11">
    <w:abstractNumId w:val="17"/>
  </w:num>
  <w:num w:numId="12">
    <w:abstractNumId w:val="24"/>
  </w:num>
  <w:num w:numId="13">
    <w:abstractNumId w:val="9"/>
  </w:num>
  <w:num w:numId="14">
    <w:abstractNumId w:val="1"/>
  </w:num>
  <w:num w:numId="15">
    <w:abstractNumId w:val="6"/>
  </w:num>
  <w:num w:numId="16">
    <w:abstractNumId w:val="5"/>
  </w:num>
  <w:num w:numId="17">
    <w:abstractNumId w:val="21"/>
  </w:num>
  <w:num w:numId="18">
    <w:abstractNumId w:val="20"/>
  </w:num>
  <w:num w:numId="19">
    <w:abstractNumId w:val="10"/>
  </w:num>
  <w:num w:numId="20">
    <w:abstractNumId w:val="3"/>
  </w:num>
  <w:num w:numId="21">
    <w:abstractNumId w:val="4"/>
  </w:num>
  <w:num w:numId="22">
    <w:abstractNumId w:val="8"/>
  </w:num>
  <w:num w:numId="23">
    <w:abstractNumId w:val="23"/>
  </w:num>
  <w:num w:numId="24">
    <w:abstractNumId w:val="12"/>
  </w:num>
  <w:num w:numId="25">
    <w:abstractNumId w:val="19"/>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A7"/>
    <w:rsid w:val="00006B3D"/>
    <w:rsid w:val="000143FE"/>
    <w:rsid w:val="00015A6C"/>
    <w:rsid w:val="00021896"/>
    <w:rsid w:val="00023B83"/>
    <w:rsid w:val="00041C0E"/>
    <w:rsid w:val="000526F5"/>
    <w:rsid w:val="00060369"/>
    <w:rsid w:val="000637A5"/>
    <w:rsid w:val="0007092C"/>
    <w:rsid w:val="00084AEF"/>
    <w:rsid w:val="00087741"/>
    <w:rsid w:val="000A72CE"/>
    <w:rsid w:val="000A7A14"/>
    <w:rsid w:val="000C46E3"/>
    <w:rsid w:val="000D1E52"/>
    <w:rsid w:val="000D38B2"/>
    <w:rsid w:val="000D52E8"/>
    <w:rsid w:val="000E2EB1"/>
    <w:rsid w:val="000E4A6A"/>
    <w:rsid w:val="000F2980"/>
    <w:rsid w:val="000F5215"/>
    <w:rsid w:val="000F5268"/>
    <w:rsid w:val="00100593"/>
    <w:rsid w:val="001219A9"/>
    <w:rsid w:val="0012497B"/>
    <w:rsid w:val="00124D1A"/>
    <w:rsid w:val="0013416C"/>
    <w:rsid w:val="00144AF6"/>
    <w:rsid w:val="00146EB0"/>
    <w:rsid w:val="001507FE"/>
    <w:rsid w:val="0015260E"/>
    <w:rsid w:val="0016366E"/>
    <w:rsid w:val="00171D85"/>
    <w:rsid w:val="00184FDD"/>
    <w:rsid w:val="00187396"/>
    <w:rsid w:val="001920C3"/>
    <w:rsid w:val="00196557"/>
    <w:rsid w:val="001A6253"/>
    <w:rsid w:val="001B55CD"/>
    <w:rsid w:val="001B661A"/>
    <w:rsid w:val="001B68C4"/>
    <w:rsid w:val="001C028C"/>
    <w:rsid w:val="001D23D9"/>
    <w:rsid w:val="001D6AD6"/>
    <w:rsid w:val="001F6086"/>
    <w:rsid w:val="002207D5"/>
    <w:rsid w:val="00221545"/>
    <w:rsid w:val="00225452"/>
    <w:rsid w:val="00227CB0"/>
    <w:rsid w:val="00236CCC"/>
    <w:rsid w:val="0024116F"/>
    <w:rsid w:val="0027355E"/>
    <w:rsid w:val="00294150"/>
    <w:rsid w:val="002A265D"/>
    <w:rsid w:val="002B0A3B"/>
    <w:rsid w:val="002B2478"/>
    <w:rsid w:val="002B4DFD"/>
    <w:rsid w:val="002C0838"/>
    <w:rsid w:val="002C0CFC"/>
    <w:rsid w:val="002C1A22"/>
    <w:rsid w:val="002D50E7"/>
    <w:rsid w:val="002E191D"/>
    <w:rsid w:val="002E7164"/>
    <w:rsid w:val="002F0E96"/>
    <w:rsid w:val="002F4940"/>
    <w:rsid w:val="00300009"/>
    <w:rsid w:val="003009B6"/>
    <w:rsid w:val="00303F7D"/>
    <w:rsid w:val="00305A79"/>
    <w:rsid w:val="00315D2A"/>
    <w:rsid w:val="00330338"/>
    <w:rsid w:val="00340061"/>
    <w:rsid w:val="0034387F"/>
    <w:rsid w:val="003456CC"/>
    <w:rsid w:val="00350497"/>
    <w:rsid w:val="003507CC"/>
    <w:rsid w:val="0036044E"/>
    <w:rsid w:val="00363116"/>
    <w:rsid w:val="003716F4"/>
    <w:rsid w:val="003723CA"/>
    <w:rsid w:val="00375FC5"/>
    <w:rsid w:val="00390415"/>
    <w:rsid w:val="00390B71"/>
    <w:rsid w:val="00390EE3"/>
    <w:rsid w:val="0039258F"/>
    <w:rsid w:val="00394780"/>
    <w:rsid w:val="003959E7"/>
    <w:rsid w:val="003A1D09"/>
    <w:rsid w:val="003A3D5C"/>
    <w:rsid w:val="003B2896"/>
    <w:rsid w:val="003B6B8F"/>
    <w:rsid w:val="003B7C32"/>
    <w:rsid w:val="003C12BE"/>
    <w:rsid w:val="003C3ABC"/>
    <w:rsid w:val="003C7A9A"/>
    <w:rsid w:val="003D3991"/>
    <w:rsid w:val="003D3996"/>
    <w:rsid w:val="003F3169"/>
    <w:rsid w:val="0040182E"/>
    <w:rsid w:val="00401BE7"/>
    <w:rsid w:val="004105CB"/>
    <w:rsid w:val="00411834"/>
    <w:rsid w:val="004223A4"/>
    <w:rsid w:val="00424848"/>
    <w:rsid w:val="00425A5C"/>
    <w:rsid w:val="00430C41"/>
    <w:rsid w:val="004372FE"/>
    <w:rsid w:val="004373F7"/>
    <w:rsid w:val="0044042C"/>
    <w:rsid w:val="0045016A"/>
    <w:rsid w:val="004625FF"/>
    <w:rsid w:val="00472DA1"/>
    <w:rsid w:val="0047465C"/>
    <w:rsid w:val="00482975"/>
    <w:rsid w:val="00491C0D"/>
    <w:rsid w:val="0049474E"/>
    <w:rsid w:val="004A7F9B"/>
    <w:rsid w:val="004B5DB4"/>
    <w:rsid w:val="004C1917"/>
    <w:rsid w:val="004C3617"/>
    <w:rsid w:val="004D011B"/>
    <w:rsid w:val="004D1FAF"/>
    <w:rsid w:val="004D2354"/>
    <w:rsid w:val="004D51A5"/>
    <w:rsid w:val="004E39A8"/>
    <w:rsid w:val="004E7AC7"/>
    <w:rsid w:val="004F7788"/>
    <w:rsid w:val="005042D3"/>
    <w:rsid w:val="00510B34"/>
    <w:rsid w:val="0051686B"/>
    <w:rsid w:val="005204C0"/>
    <w:rsid w:val="005212F2"/>
    <w:rsid w:val="00521581"/>
    <w:rsid w:val="00522715"/>
    <w:rsid w:val="00535F28"/>
    <w:rsid w:val="00543E5F"/>
    <w:rsid w:val="0056042A"/>
    <w:rsid w:val="005619F0"/>
    <w:rsid w:val="00561B12"/>
    <w:rsid w:val="00562CAC"/>
    <w:rsid w:val="00565EF2"/>
    <w:rsid w:val="00572232"/>
    <w:rsid w:val="00573440"/>
    <w:rsid w:val="00585714"/>
    <w:rsid w:val="00586A26"/>
    <w:rsid w:val="005878FF"/>
    <w:rsid w:val="0059028D"/>
    <w:rsid w:val="005A32C9"/>
    <w:rsid w:val="005B00C1"/>
    <w:rsid w:val="005B34BD"/>
    <w:rsid w:val="005B4694"/>
    <w:rsid w:val="005B68BB"/>
    <w:rsid w:val="005C532B"/>
    <w:rsid w:val="005D2281"/>
    <w:rsid w:val="005D7898"/>
    <w:rsid w:val="005E19D3"/>
    <w:rsid w:val="005E22F8"/>
    <w:rsid w:val="006011CE"/>
    <w:rsid w:val="0060188B"/>
    <w:rsid w:val="006114A4"/>
    <w:rsid w:val="00611D6F"/>
    <w:rsid w:val="00613EE5"/>
    <w:rsid w:val="00620B66"/>
    <w:rsid w:val="00623EAC"/>
    <w:rsid w:val="0062799A"/>
    <w:rsid w:val="006364BB"/>
    <w:rsid w:val="00647227"/>
    <w:rsid w:val="00676914"/>
    <w:rsid w:val="006769A3"/>
    <w:rsid w:val="00682191"/>
    <w:rsid w:val="00691DE8"/>
    <w:rsid w:val="00695E13"/>
    <w:rsid w:val="00697F1D"/>
    <w:rsid w:val="006A2AAC"/>
    <w:rsid w:val="006A39E1"/>
    <w:rsid w:val="006A6779"/>
    <w:rsid w:val="006B5D7C"/>
    <w:rsid w:val="006C4A09"/>
    <w:rsid w:val="006D4C6D"/>
    <w:rsid w:val="006D5AA8"/>
    <w:rsid w:val="006E07FB"/>
    <w:rsid w:val="006E6A36"/>
    <w:rsid w:val="006F11A0"/>
    <w:rsid w:val="006F28EC"/>
    <w:rsid w:val="006F5810"/>
    <w:rsid w:val="0070039F"/>
    <w:rsid w:val="00702823"/>
    <w:rsid w:val="007121A8"/>
    <w:rsid w:val="00716483"/>
    <w:rsid w:val="0072706D"/>
    <w:rsid w:val="00744920"/>
    <w:rsid w:val="007477B3"/>
    <w:rsid w:val="007558D4"/>
    <w:rsid w:val="00761008"/>
    <w:rsid w:val="00761927"/>
    <w:rsid w:val="00764536"/>
    <w:rsid w:val="00772D90"/>
    <w:rsid w:val="007751AD"/>
    <w:rsid w:val="007764A2"/>
    <w:rsid w:val="007907F2"/>
    <w:rsid w:val="0079105D"/>
    <w:rsid w:val="00792572"/>
    <w:rsid w:val="0079483E"/>
    <w:rsid w:val="00794EAA"/>
    <w:rsid w:val="007A2721"/>
    <w:rsid w:val="007A6D02"/>
    <w:rsid w:val="007D283A"/>
    <w:rsid w:val="007D7636"/>
    <w:rsid w:val="007E2C89"/>
    <w:rsid w:val="007F046D"/>
    <w:rsid w:val="007F2449"/>
    <w:rsid w:val="007F37B9"/>
    <w:rsid w:val="007F5187"/>
    <w:rsid w:val="007F7359"/>
    <w:rsid w:val="00802CFF"/>
    <w:rsid w:val="00812489"/>
    <w:rsid w:val="0081695A"/>
    <w:rsid w:val="00823CA7"/>
    <w:rsid w:val="00831AFA"/>
    <w:rsid w:val="00832603"/>
    <w:rsid w:val="0084178B"/>
    <w:rsid w:val="00845568"/>
    <w:rsid w:val="00854BBA"/>
    <w:rsid w:val="00861D87"/>
    <w:rsid w:val="008776C8"/>
    <w:rsid w:val="00880CDC"/>
    <w:rsid w:val="008815EE"/>
    <w:rsid w:val="00885F59"/>
    <w:rsid w:val="0089068A"/>
    <w:rsid w:val="0089384F"/>
    <w:rsid w:val="008940FF"/>
    <w:rsid w:val="008966E4"/>
    <w:rsid w:val="008C0AE4"/>
    <w:rsid w:val="008C3696"/>
    <w:rsid w:val="008D2F7B"/>
    <w:rsid w:val="008D5F54"/>
    <w:rsid w:val="008E0D34"/>
    <w:rsid w:val="008E12F3"/>
    <w:rsid w:val="008F309D"/>
    <w:rsid w:val="008F6BFD"/>
    <w:rsid w:val="00902FA7"/>
    <w:rsid w:val="00903A03"/>
    <w:rsid w:val="00912BBF"/>
    <w:rsid w:val="00921785"/>
    <w:rsid w:val="00925EBC"/>
    <w:rsid w:val="00927BA6"/>
    <w:rsid w:val="00936943"/>
    <w:rsid w:val="00946E50"/>
    <w:rsid w:val="009502F2"/>
    <w:rsid w:val="009544E8"/>
    <w:rsid w:val="009664C1"/>
    <w:rsid w:val="0097013A"/>
    <w:rsid w:val="009716DE"/>
    <w:rsid w:val="00974998"/>
    <w:rsid w:val="00987B8C"/>
    <w:rsid w:val="009B1CFD"/>
    <w:rsid w:val="009B74AA"/>
    <w:rsid w:val="009B75EF"/>
    <w:rsid w:val="009C5C3D"/>
    <w:rsid w:val="009C5DD4"/>
    <w:rsid w:val="009C692E"/>
    <w:rsid w:val="009C7C86"/>
    <w:rsid w:val="009D0511"/>
    <w:rsid w:val="009D07CE"/>
    <w:rsid w:val="009D63F6"/>
    <w:rsid w:val="009E1CFD"/>
    <w:rsid w:val="00A13E65"/>
    <w:rsid w:val="00A17BE4"/>
    <w:rsid w:val="00A20532"/>
    <w:rsid w:val="00A21F97"/>
    <w:rsid w:val="00A26A23"/>
    <w:rsid w:val="00A2786A"/>
    <w:rsid w:val="00A30FC9"/>
    <w:rsid w:val="00A31DB5"/>
    <w:rsid w:val="00A33797"/>
    <w:rsid w:val="00A4363F"/>
    <w:rsid w:val="00A4374C"/>
    <w:rsid w:val="00A47398"/>
    <w:rsid w:val="00A50C8C"/>
    <w:rsid w:val="00A5140E"/>
    <w:rsid w:val="00A54F67"/>
    <w:rsid w:val="00A749A3"/>
    <w:rsid w:val="00AA6479"/>
    <w:rsid w:val="00AB2265"/>
    <w:rsid w:val="00AC0BFD"/>
    <w:rsid w:val="00AC3DB0"/>
    <w:rsid w:val="00AC4834"/>
    <w:rsid w:val="00AD004D"/>
    <w:rsid w:val="00AD1D61"/>
    <w:rsid w:val="00AD6ED3"/>
    <w:rsid w:val="00AE30E4"/>
    <w:rsid w:val="00AE7B0F"/>
    <w:rsid w:val="00B127CA"/>
    <w:rsid w:val="00B171AB"/>
    <w:rsid w:val="00B235B1"/>
    <w:rsid w:val="00B2700F"/>
    <w:rsid w:val="00B3248C"/>
    <w:rsid w:val="00B44629"/>
    <w:rsid w:val="00B62AB3"/>
    <w:rsid w:val="00B637B2"/>
    <w:rsid w:val="00B6417A"/>
    <w:rsid w:val="00B64B31"/>
    <w:rsid w:val="00B7182A"/>
    <w:rsid w:val="00B76D82"/>
    <w:rsid w:val="00B778DA"/>
    <w:rsid w:val="00BA160D"/>
    <w:rsid w:val="00BD0A1C"/>
    <w:rsid w:val="00BD2084"/>
    <w:rsid w:val="00BD473B"/>
    <w:rsid w:val="00BD54FC"/>
    <w:rsid w:val="00BE4CA4"/>
    <w:rsid w:val="00BE73D8"/>
    <w:rsid w:val="00BF5C68"/>
    <w:rsid w:val="00C009F9"/>
    <w:rsid w:val="00C03BB7"/>
    <w:rsid w:val="00C07247"/>
    <w:rsid w:val="00C273E6"/>
    <w:rsid w:val="00C32B6E"/>
    <w:rsid w:val="00C5469F"/>
    <w:rsid w:val="00C650D1"/>
    <w:rsid w:val="00C709CF"/>
    <w:rsid w:val="00C8022F"/>
    <w:rsid w:val="00C8111A"/>
    <w:rsid w:val="00C849BA"/>
    <w:rsid w:val="00C8677B"/>
    <w:rsid w:val="00C97848"/>
    <w:rsid w:val="00CA1DE1"/>
    <w:rsid w:val="00CA4A74"/>
    <w:rsid w:val="00CB0E5C"/>
    <w:rsid w:val="00CB7E6F"/>
    <w:rsid w:val="00CC79C3"/>
    <w:rsid w:val="00CD3F9A"/>
    <w:rsid w:val="00CE1C25"/>
    <w:rsid w:val="00D00720"/>
    <w:rsid w:val="00D0271A"/>
    <w:rsid w:val="00D0683F"/>
    <w:rsid w:val="00D140FB"/>
    <w:rsid w:val="00D22AF4"/>
    <w:rsid w:val="00D2787C"/>
    <w:rsid w:val="00D37DD8"/>
    <w:rsid w:val="00D5182D"/>
    <w:rsid w:val="00D54E6F"/>
    <w:rsid w:val="00D56917"/>
    <w:rsid w:val="00D66764"/>
    <w:rsid w:val="00D847DC"/>
    <w:rsid w:val="00D86DA9"/>
    <w:rsid w:val="00D96EAF"/>
    <w:rsid w:val="00D9752E"/>
    <w:rsid w:val="00DA1458"/>
    <w:rsid w:val="00DA474D"/>
    <w:rsid w:val="00DB4C8A"/>
    <w:rsid w:val="00DD61DA"/>
    <w:rsid w:val="00E01F9E"/>
    <w:rsid w:val="00E06F2D"/>
    <w:rsid w:val="00E15393"/>
    <w:rsid w:val="00E15D8D"/>
    <w:rsid w:val="00E20CD7"/>
    <w:rsid w:val="00E23D26"/>
    <w:rsid w:val="00E27E6A"/>
    <w:rsid w:val="00E34444"/>
    <w:rsid w:val="00E34EFD"/>
    <w:rsid w:val="00E65DFB"/>
    <w:rsid w:val="00E6746A"/>
    <w:rsid w:val="00E67B91"/>
    <w:rsid w:val="00E74CE2"/>
    <w:rsid w:val="00E91A30"/>
    <w:rsid w:val="00EA055E"/>
    <w:rsid w:val="00EA0C6F"/>
    <w:rsid w:val="00EA3E4B"/>
    <w:rsid w:val="00EB0A5C"/>
    <w:rsid w:val="00EB318F"/>
    <w:rsid w:val="00EB40F9"/>
    <w:rsid w:val="00EB41B5"/>
    <w:rsid w:val="00EC1ED7"/>
    <w:rsid w:val="00EC34F7"/>
    <w:rsid w:val="00EC6D6B"/>
    <w:rsid w:val="00EC723F"/>
    <w:rsid w:val="00EE6AF5"/>
    <w:rsid w:val="00EF610A"/>
    <w:rsid w:val="00F019B2"/>
    <w:rsid w:val="00F02402"/>
    <w:rsid w:val="00F03DFD"/>
    <w:rsid w:val="00F05B27"/>
    <w:rsid w:val="00F11BDF"/>
    <w:rsid w:val="00F144C4"/>
    <w:rsid w:val="00F20953"/>
    <w:rsid w:val="00F24532"/>
    <w:rsid w:val="00F36648"/>
    <w:rsid w:val="00F37EC4"/>
    <w:rsid w:val="00F660C7"/>
    <w:rsid w:val="00F7020F"/>
    <w:rsid w:val="00F70963"/>
    <w:rsid w:val="00F75263"/>
    <w:rsid w:val="00F76D6C"/>
    <w:rsid w:val="00F82BDC"/>
    <w:rsid w:val="00F86DA8"/>
    <w:rsid w:val="00F908F7"/>
    <w:rsid w:val="00F92464"/>
    <w:rsid w:val="00F96C79"/>
    <w:rsid w:val="00FA1305"/>
    <w:rsid w:val="00FA151F"/>
    <w:rsid w:val="00FB1917"/>
    <w:rsid w:val="00FB2033"/>
    <w:rsid w:val="00FB39CF"/>
    <w:rsid w:val="00FB3D37"/>
    <w:rsid w:val="00FC0241"/>
    <w:rsid w:val="00FC4EE4"/>
    <w:rsid w:val="00FC6606"/>
    <w:rsid w:val="00FD02D8"/>
    <w:rsid w:val="00FD54C1"/>
    <w:rsid w:val="00FE70E1"/>
    <w:rsid w:val="00FF280E"/>
    <w:rsid w:val="00FF5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73EC3"/>
  <w15:chartTrackingRefBased/>
  <w15:docId w15:val="{DCA42C38-7F90-4977-B080-7FDF454F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0E7"/>
    <w:pPr>
      <w:spacing w:after="160" w:line="259" w:lineRule="auto"/>
    </w:pPr>
  </w:style>
  <w:style w:type="paragraph" w:styleId="Heading1">
    <w:name w:val="heading 1"/>
    <w:basedOn w:val="Normal"/>
    <w:next w:val="Normal"/>
    <w:link w:val="Heading1Char"/>
    <w:uiPriority w:val="9"/>
    <w:qFormat/>
    <w:rsid w:val="003C12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C12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16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456C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456C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456C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456C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456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56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CA7"/>
    <w:pPr>
      <w:ind w:left="720"/>
      <w:contextualSpacing/>
    </w:pPr>
  </w:style>
  <w:style w:type="table" w:styleId="TableGrid">
    <w:name w:val="Table Grid"/>
    <w:basedOn w:val="TableNormal"/>
    <w:uiPriority w:val="39"/>
    <w:rsid w:val="0082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23CA7"/>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CommentReference">
    <w:name w:val="annotation reference"/>
    <w:basedOn w:val="DefaultParagraphFont"/>
    <w:uiPriority w:val="99"/>
    <w:semiHidden/>
    <w:unhideWhenUsed/>
    <w:rsid w:val="0049474E"/>
    <w:rPr>
      <w:sz w:val="16"/>
      <w:szCs w:val="16"/>
    </w:rPr>
  </w:style>
  <w:style w:type="paragraph" w:styleId="CommentText">
    <w:name w:val="annotation text"/>
    <w:basedOn w:val="Normal"/>
    <w:link w:val="CommentTextChar"/>
    <w:uiPriority w:val="99"/>
    <w:unhideWhenUsed/>
    <w:rsid w:val="0049474E"/>
    <w:pPr>
      <w:spacing w:line="240" w:lineRule="auto"/>
    </w:pPr>
    <w:rPr>
      <w:sz w:val="20"/>
      <w:szCs w:val="20"/>
    </w:rPr>
  </w:style>
  <w:style w:type="character" w:customStyle="1" w:styleId="CommentTextChar">
    <w:name w:val="Comment Text Char"/>
    <w:basedOn w:val="DefaultParagraphFont"/>
    <w:link w:val="CommentText"/>
    <w:uiPriority w:val="99"/>
    <w:rsid w:val="0049474E"/>
    <w:rPr>
      <w:sz w:val="20"/>
      <w:szCs w:val="20"/>
    </w:rPr>
  </w:style>
  <w:style w:type="paragraph" w:styleId="BalloonText">
    <w:name w:val="Balloon Text"/>
    <w:basedOn w:val="Normal"/>
    <w:link w:val="BalloonTextChar"/>
    <w:uiPriority w:val="99"/>
    <w:semiHidden/>
    <w:unhideWhenUsed/>
    <w:rsid w:val="00494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74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82191"/>
    <w:rPr>
      <w:b/>
      <w:bCs/>
    </w:rPr>
  </w:style>
  <w:style w:type="character" w:customStyle="1" w:styleId="CommentSubjectChar">
    <w:name w:val="Comment Subject Char"/>
    <w:basedOn w:val="CommentTextChar"/>
    <w:link w:val="CommentSubject"/>
    <w:uiPriority w:val="99"/>
    <w:semiHidden/>
    <w:rsid w:val="00682191"/>
    <w:rPr>
      <w:b/>
      <w:bCs/>
      <w:sz w:val="20"/>
      <w:szCs w:val="20"/>
    </w:rPr>
  </w:style>
  <w:style w:type="character" w:customStyle="1" w:styleId="Heading1Char">
    <w:name w:val="Heading 1 Char"/>
    <w:basedOn w:val="DefaultParagraphFont"/>
    <w:link w:val="Heading1"/>
    <w:uiPriority w:val="9"/>
    <w:rsid w:val="003C12B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C12BE"/>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76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6EB0"/>
    <w:pPr>
      <w:spacing w:after="0" w:line="240" w:lineRule="auto"/>
    </w:pPr>
  </w:style>
  <w:style w:type="character" w:styleId="SubtleEmphasis">
    <w:name w:val="Subtle Emphasis"/>
    <w:basedOn w:val="DefaultParagraphFont"/>
    <w:uiPriority w:val="19"/>
    <w:qFormat/>
    <w:rsid w:val="00FA1305"/>
    <w:rPr>
      <w:i/>
      <w:iCs/>
      <w:color w:val="808080" w:themeColor="text1" w:themeTint="7F"/>
    </w:rPr>
  </w:style>
  <w:style w:type="character" w:styleId="Hyperlink">
    <w:name w:val="Hyperlink"/>
    <w:basedOn w:val="DefaultParagraphFont"/>
    <w:uiPriority w:val="99"/>
    <w:unhideWhenUsed/>
    <w:rsid w:val="003C3ABC"/>
    <w:rPr>
      <w:color w:val="0000FF" w:themeColor="hyperlink"/>
      <w:u w:val="single"/>
    </w:rPr>
  </w:style>
  <w:style w:type="paragraph" w:styleId="NoSpacing">
    <w:name w:val="No Spacing"/>
    <w:uiPriority w:val="1"/>
    <w:qFormat/>
    <w:rsid w:val="000A72CE"/>
    <w:pPr>
      <w:spacing w:after="0" w:line="240" w:lineRule="auto"/>
    </w:pPr>
  </w:style>
  <w:style w:type="character" w:styleId="Strong">
    <w:name w:val="Strong"/>
    <w:basedOn w:val="DefaultParagraphFont"/>
    <w:uiPriority w:val="22"/>
    <w:qFormat/>
    <w:rsid w:val="00744920"/>
    <w:rPr>
      <w:b/>
      <w:bCs/>
    </w:rPr>
  </w:style>
  <w:style w:type="character" w:customStyle="1" w:styleId="Heading3Char">
    <w:name w:val="Heading 3 Char"/>
    <w:basedOn w:val="DefaultParagraphFont"/>
    <w:link w:val="Heading3"/>
    <w:uiPriority w:val="9"/>
    <w:rsid w:val="00BA160D"/>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041C0E"/>
    <w:pPr>
      <w:outlineLvl w:val="9"/>
    </w:pPr>
    <w:rPr>
      <w:lang w:val="en-US"/>
    </w:rPr>
  </w:style>
  <w:style w:type="paragraph" w:styleId="TOC1">
    <w:name w:val="toc 1"/>
    <w:basedOn w:val="Normal"/>
    <w:next w:val="Normal"/>
    <w:autoRedefine/>
    <w:uiPriority w:val="39"/>
    <w:unhideWhenUsed/>
    <w:rsid w:val="00FE70E1"/>
    <w:pPr>
      <w:tabs>
        <w:tab w:val="left" w:pos="440"/>
        <w:tab w:val="right" w:leader="dot" w:pos="13948"/>
      </w:tabs>
      <w:spacing w:before="120" w:after="0"/>
    </w:pPr>
    <w:rPr>
      <w:rFonts w:cstheme="minorHAnsi"/>
      <w:b/>
      <w:bCs/>
      <w:i/>
      <w:iCs/>
      <w:sz w:val="24"/>
      <w:szCs w:val="24"/>
    </w:rPr>
  </w:style>
  <w:style w:type="paragraph" w:styleId="TOC2">
    <w:name w:val="toc 2"/>
    <w:basedOn w:val="Normal"/>
    <w:next w:val="Normal"/>
    <w:autoRedefine/>
    <w:uiPriority w:val="39"/>
    <w:unhideWhenUsed/>
    <w:rsid w:val="00AC0BFD"/>
    <w:pPr>
      <w:tabs>
        <w:tab w:val="left" w:pos="880"/>
        <w:tab w:val="right" w:leader="dot" w:pos="13948"/>
      </w:tabs>
      <w:spacing w:before="120" w:after="0"/>
      <w:ind w:left="220"/>
    </w:pPr>
    <w:rPr>
      <w:rFonts w:cstheme="minorHAnsi"/>
      <w:b/>
      <w:bCs/>
    </w:rPr>
  </w:style>
  <w:style w:type="paragraph" w:styleId="TOC3">
    <w:name w:val="toc 3"/>
    <w:basedOn w:val="Normal"/>
    <w:next w:val="Normal"/>
    <w:autoRedefine/>
    <w:uiPriority w:val="39"/>
    <w:unhideWhenUsed/>
    <w:rsid w:val="00041C0E"/>
    <w:pPr>
      <w:spacing w:after="0"/>
      <w:ind w:left="440"/>
    </w:pPr>
    <w:rPr>
      <w:rFonts w:cstheme="minorHAnsi"/>
      <w:sz w:val="20"/>
      <w:szCs w:val="20"/>
    </w:rPr>
  </w:style>
  <w:style w:type="paragraph" w:styleId="Header">
    <w:name w:val="header"/>
    <w:basedOn w:val="Normal"/>
    <w:link w:val="HeaderChar"/>
    <w:uiPriority w:val="99"/>
    <w:unhideWhenUsed/>
    <w:rsid w:val="00144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AF6"/>
  </w:style>
  <w:style w:type="paragraph" w:styleId="Footer">
    <w:name w:val="footer"/>
    <w:basedOn w:val="Normal"/>
    <w:link w:val="FooterChar"/>
    <w:uiPriority w:val="99"/>
    <w:unhideWhenUsed/>
    <w:rsid w:val="00144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AF6"/>
  </w:style>
  <w:style w:type="character" w:customStyle="1" w:styleId="Heading4Char">
    <w:name w:val="Heading 4 Char"/>
    <w:basedOn w:val="DefaultParagraphFont"/>
    <w:link w:val="Heading4"/>
    <w:uiPriority w:val="9"/>
    <w:rsid w:val="003456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456C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3456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3456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456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56C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3456CC"/>
    <w:pPr>
      <w:numPr>
        <w:numId w:val="22"/>
      </w:numPr>
    </w:pPr>
  </w:style>
  <w:style w:type="numbering" w:customStyle="1" w:styleId="Style2">
    <w:name w:val="Style2"/>
    <w:uiPriority w:val="99"/>
    <w:rsid w:val="003456CC"/>
    <w:pPr>
      <w:numPr>
        <w:numId w:val="23"/>
      </w:numPr>
    </w:pPr>
  </w:style>
  <w:style w:type="numbering" w:customStyle="1" w:styleId="Style3">
    <w:name w:val="Style3"/>
    <w:uiPriority w:val="99"/>
    <w:rsid w:val="003456CC"/>
    <w:pPr>
      <w:numPr>
        <w:numId w:val="24"/>
      </w:numPr>
    </w:pPr>
  </w:style>
  <w:style w:type="character" w:styleId="IntenseEmphasis">
    <w:name w:val="Intense Emphasis"/>
    <w:basedOn w:val="DefaultParagraphFont"/>
    <w:uiPriority w:val="21"/>
    <w:qFormat/>
    <w:rsid w:val="003456CC"/>
    <w:rPr>
      <w:i/>
      <w:iCs/>
      <w:color w:val="4F81BD" w:themeColor="accent1"/>
    </w:rPr>
  </w:style>
  <w:style w:type="paragraph" w:styleId="TOC4">
    <w:name w:val="toc 4"/>
    <w:basedOn w:val="Normal"/>
    <w:next w:val="Normal"/>
    <w:autoRedefine/>
    <w:uiPriority w:val="39"/>
    <w:semiHidden/>
    <w:unhideWhenUsed/>
    <w:rsid w:val="001B55CD"/>
    <w:pPr>
      <w:spacing w:after="0"/>
      <w:ind w:left="660"/>
    </w:pPr>
    <w:rPr>
      <w:rFonts w:cstheme="minorHAnsi"/>
      <w:sz w:val="20"/>
      <w:szCs w:val="20"/>
    </w:rPr>
  </w:style>
  <w:style w:type="paragraph" w:styleId="TOC5">
    <w:name w:val="toc 5"/>
    <w:basedOn w:val="Normal"/>
    <w:next w:val="Normal"/>
    <w:autoRedefine/>
    <w:uiPriority w:val="39"/>
    <w:semiHidden/>
    <w:unhideWhenUsed/>
    <w:rsid w:val="001B55CD"/>
    <w:pPr>
      <w:spacing w:after="0"/>
      <w:ind w:left="880"/>
    </w:pPr>
    <w:rPr>
      <w:rFonts w:cstheme="minorHAnsi"/>
      <w:sz w:val="20"/>
      <w:szCs w:val="20"/>
    </w:rPr>
  </w:style>
  <w:style w:type="paragraph" w:styleId="TOC6">
    <w:name w:val="toc 6"/>
    <w:basedOn w:val="Normal"/>
    <w:next w:val="Normal"/>
    <w:autoRedefine/>
    <w:uiPriority w:val="39"/>
    <w:semiHidden/>
    <w:unhideWhenUsed/>
    <w:rsid w:val="001B55CD"/>
    <w:pPr>
      <w:spacing w:after="0"/>
      <w:ind w:left="1100"/>
    </w:pPr>
    <w:rPr>
      <w:rFonts w:cstheme="minorHAnsi"/>
      <w:sz w:val="20"/>
      <w:szCs w:val="20"/>
    </w:rPr>
  </w:style>
  <w:style w:type="paragraph" w:styleId="TOC7">
    <w:name w:val="toc 7"/>
    <w:basedOn w:val="Normal"/>
    <w:next w:val="Normal"/>
    <w:autoRedefine/>
    <w:uiPriority w:val="39"/>
    <w:semiHidden/>
    <w:unhideWhenUsed/>
    <w:rsid w:val="001B55CD"/>
    <w:pPr>
      <w:spacing w:after="0"/>
      <w:ind w:left="1320"/>
    </w:pPr>
    <w:rPr>
      <w:rFonts w:cstheme="minorHAnsi"/>
      <w:sz w:val="20"/>
      <w:szCs w:val="20"/>
    </w:rPr>
  </w:style>
  <w:style w:type="paragraph" w:styleId="TOC8">
    <w:name w:val="toc 8"/>
    <w:basedOn w:val="Normal"/>
    <w:next w:val="Normal"/>
    <w:autoRedefine/>
    <w:uiPriority w:val="39"/>
    <w:semiHidden/>
    <w:unhideWhenUsed/>
    <w:rsid w:val="001B55CD"/>
    <w:pPr>
      <w:spacing w:after="0"/>
      <w:ind w:left="1540"/>
    </w:pPr>
    <w:rPr>
      <w:rFonts w:cstheme="minorHAnsi"/>
      <w:sz w:val="20"/>
      <w:szCs w:val="20"/>
    </w:rPr>
  </w:style>
  <w:style w:type="paragraph" w:styleId="TOC9">
    <w:name w:val="toc 9"/>
    <w:basedOn w:val="Normal"/>
    <w:next w:val="Normal"/>
    <w:autoRedefine/>
    <w:uiPriority w:val="39"/>
    <w:semiHidden/>
    <w:unhideWhenUsed/>
    <w:rsid w:val="001B55CD"/>
    <w:pPr>
      <w:spacing w:after="0"/>
      <w:ind w:left="1760"/>
    </w:pPr>
    <w:rPr>
      <w:rFonts w:cstheme="minorHAnsi"/>
      <w:sz w:val="20"/>
      <w:szCs w:val="20"/>
    </w:rPr>
  </w:style>
  <w:style w:type="character" w:styleId="PageNumber">
    <w:name w:val="page number"/>
    <w:basedOn w:val="DefaultParagraphFont"/>
    <w:uiPriority w:val="99"/>
    <w:semiHidden/>
    <w:unhideWhenUsed/>
    <w:rsid w:val="00401BE7"/>
  </w:style>
  <w:style w:type="numbering" w:customStyle="1" w:styleId="CurrentList1">
    <w:name w:val="Current List1"/>
    <w:uiPriority w:val="99"/>
    <w:rsid w:val="00585714"/>
    <w:pPr>
      <w:numPr>
        <w:numId w:val="26"/>
      </w:numPr>
    </w:pPr>
  </w:style>
  <w:style w:type="character" w:styleId="FollowedHyperlink">
    <w:name w:val="FollowedHyperlink"/>
    <w:basedOn w:val="DefaultParagraphFont"/>
    <w:uiPriority w:val="99"/>
    <w:semiHidden/>
    <w:unhideWhenUsed/>
    <w:rsid w:val="00CC79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88017">
      <w:bodyDiv w:val="1"/>
      <w:marLeft w:val="0"/>
      <w:marRight w:val="0"/>
      <w:marTop w:val="0"/>
      <w:marBottom w:val="0"/>
      <w:divBdr>
        <w:top w:val="none" w:sz="0" w:space="0" w:color="auto"/>
        <w:left w:val="none" w:sz="0" w:space="0" w:color="auto"/>
        <w:bottom w:val="none" w:sz="0" w:space="0" w:color="auto"/>
        <w:right w:val="none" w:sz="0" w:space="0" w:color="auto"/>
      </w:divBdr>
    </w:div>
    <w:div w:id="183371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bda.uk.com/uploads/assets/f1727d3a-8e42-4e6e-9f06b3daa9f3a196/Post-Registration-Professional-Development-Framework.pdf" TargetMode="External"/><Relationship Id="rId18" Type="http://schemas.openxmlformats.org/officeDocument/2006/relationships/hyperlink" Target="https://www.bda.uk.com/specialist-groups-and-branches/diabetes-specialist-group/dietetic-competency-framework.html" TargetMode="External"/><Relationship Id="rId3" Type="http://schemas.openxmlformats.org/officeDocument/2006/relationships/styles" Target="styles.xml"/><Relationship Id="rId21" Type="http://schemas.openxmlformats.org/officeDocument/2006/relationships/hyperlink" Target="https://www.bhiva.org/file/63513a1745ea9/BHIVA-guidelines-on-antiretroviral-treatment-for-adults-living-with-HIV-1-2022.pdf" TargetMode="External"/><Relationship Id="rId7" Type="http://schemas.openxmlformats.org/officeDocument/2006/relationships/endnotes" Target="endnotes.xml"/><Relationship Id="rId12" Type="http://schemas.openxmlformats.org/officeDocument/2006/relationships/hyperlink" Target="https://www.bhiva.org/standards-of-care-2018" TargetMode="External"/><Relationship Id="rId17" Type="http://schemas.openxmlformats.org/officeDocument/2006/relationships/hyperlink" Target="https://doi.org/10.1007/s12325-022-02108-2s" TargetMode="External"/><Relationship Id="rId2" Type="http://schemas.openxmlformats.org/officeDocument/2006/relationships/numbering" Target="numbering.xml"/><Relationship Id="rId16" Type="http://schemas.openxmlformats.org/officeDocument/2006/relationships/hyperlink" Target="https://www.bda.uk.com/uploads/assets/19a1b829-6738-4b56-b2feb7509e6e9a2d/Health-Education-England-DSW-and-AP-Framework-2014.pdf" TargetMode="External"/><Relationship Id="rId20" Type="http://schemas.openxmlformats.org/officeDocument/2006/relationships/hyperlink" Target="https://www.chiva.org.uk/wp-content/uploads/2022/02/Management_of_dyslipidaemi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hiva.org/file/KrfaFqLZRlBhg/BHIVA-Standards-of-Care-201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da.uk.com/practice-and-education/nutrition-and-dietetic-practice/professional-guidance/model-and-process-for-dietetic-practice.html"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acsociety.org/media/guidelines-11.1_final_09-1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da.uk.com/specialist-groups-and-branches/hiv-care-specialist-group.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04885-581E-4B55-BCE3-792935FF646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6176</Words>
  <Characters>35207</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41301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Halley, Maria</dc:creator>
  <cp:keywords/>
  <dc:description/>
  <cp:lastModifiedBy>Kinsella, Aoife</cp:lastModifiedBy>
  <cp:revision>2</cp:revision>
  <dcterms:created xsi:type="dcterms:W3CDTF">2023-06-26T11:53:00Z</dcterms:created>
  <dcterms:modified xsi:type="dcterms:W3CDTF">2023-06-26T11:53:00Z</dcterms:modified>
</cp:coreProperties>
</file>