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D11CB8" w14:textId="0EE2EC62" w:rsidR="00746864" w:rsidRDefault="00746864" w:rsidP="00746864">
      <w:pPr>
        <w:spacing w:line="360" w:lineRule="auto"/>
        <w:jc w:val="center"/>
        <w:rPr>
          <w:rFonts w:ascii="Arial" w:hAnsi="Arial" w:cs="Arial"/>
          <w:b/>
          <w:bCs/>
          <w:sz w:val="22"/>
          <w:szCs w:val="22"/>
        </w:rPr>
      </w:pPr>
    </w:p>
    <w:p w14:paraId="4FD54F82" w14:textId="20A4C68B" w:rsidR="00746864" w:rsidRDefault="00746864" w:rsidP="00746864">
      <w:pPr>
        <w:spacing w:line="360" w:lineRule="auto"/>
        <w:rPr>
          <w:rFonts w:ascii="Arial" w:hAnsi="Arial" w:cs="Arial"/>
          <w:b/>
          <w:bCs/>
          <w:sz w:val="22"/>
          <w:szCs w:val="22"/>
        </w:rPr>
      </w:pPr>
      <w:r>
        <w:rPr>
          <w:rFonts w:ascii="Calibri" w:hAnsi="Calibri"/>
          <w:noProof/>
          <w:lang w:eastAsia="en-GB"/>
        </w:rPr>
        <w:drawing>
          <wp:anchor distT="0" distB="0" distL="114300" distR="114300" simplePos="0" relativeHeight="251658240" behindDoc="0" locked="0" layoutInCell="1" allowOverlap="1" wp14:anchorId="4035982D" wp14:editId="6ECC5D22">
            <wp:simplePos x="0" y="0"/>
            <wp:positionH relativeFrom="margin">
              <wp:posOffset>3295015</wp:posOffset>
            </wp:positionH>
            <wp:positionV relativeFrom="paragraph">
              <wp:posOffset>6985</wp:posOffset>
            </wp:positionV>
            <wp:extent cx="2428875" cy="675005"/>
            <wp:effectExtent l="0" t="0" r="9525" b="0"/>
            <wp:wrapSquare wrapText="bothSides"/>
            <wp:docPr id="2969937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42887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noProof/>
          <w:sz w:val="22"/>
          <w:szCs w:val="22"/>
          <w14:ligatures w14:val="standardContextual"/>
        </w:rPr>
        <w:drawing>
          <wp:inline distT="0" distB="0" distL="0" distR="0" wp14:anchorId="7AA60C58" wp14:editId="1B358217">
            <wp:extent cx="2580219" cy="504825"/>
            <wp:effectExtent l="0" t="0" r="0" b="0"/>
            <wp:docPr id="1196067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067844" name="Picture 11960678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6366" cy="506028"/>
                    </a:xfrm>
                    <a:prstGeom prst="rect">
                      <a:avLst/>
                    </a:prstGeom>
                  </pic:spPr>
                </pic:pic>
              </a:graphicData>
            </a:graphic>
          </wp:inline>
        </w:drawing>
      </w:r>
    </w:p>
    <w:p w14:paraId="5BCA5666" w14:textId="77777777" w:rsidR="00746864" w:rsidRDefault="00746864" w:rsidP="00746864">
      <w:pPr>
        <w:spacing w:line="360" w:lineRule="auto"/>
        <w:jc w:val="center"/>
        <w:rPr>
          <w:rFonts w:ascii="Arial" w:hAnsi="Arial" w:cs="Arial"/>
          <w:b/>
          <w:bCs/>
          <w:sz w:val="22"/>
          <w:szCs w:val="22"/>
        </w:rPr>
      </w:pPr>
    </w:p>
    <w:p w14:paraId="74EB014A" w14:textId="0A9CD62C" w:rsidR="007B094A" w:rsidRPr="00746864" w:rsidRDefault="007B094A" w:rsidP="00746864">
      <w:pPr>
        <w:spacing w:line="360" w:lineRule="auto"/>
        <w:jc w:val="center"/>
        <w:rPr>
          <w:rFonts w:ascii="Arial" w:hAnsi="Arial" w:cs="Arial"/>
          <w:b/>
          <w:bCs/>
          <w:sz w:val="22"/>
          <w:szCs w:val="22"/>
        </w:rPr>
      </w:pPr>
      <w:r w:rsidRPr="00746864">
        <w:rPr>
          <w:rFonts w:ascii="Arial" w:hAnsi="Arial" w:cs="Arial"/>
          <w:b/>
          <w:bCs/>
          <w:sz w:val="22"/>
          <w:szCs w:val="22"/>
        </w:rPr>
        <w:t>Joint Position Statement regarding GLP-1/GIP Receptor Agonists in people living with obesity and/or type 2 diabetes</w:t>
      </w:r>
    </w:p>
    <w:p w14:paraId="769D7D00" w14:textId="528E2CF4" w:rsidR="007B094A" w:rsidRPr="00746864" w:rsidRDefault="007B094A" w:rsidP="00746864">
      <w:pPr>
        <w:spacing w:line="360" w:lineRule="auto"/>
        <w:jc w:val="both"/>
        <w:rPr>
          <w:rFonts w:ascii="Arial" w:hAnsi="Arial" w:cs="Arial"/>
          <w:i/>
          <w:iCs/>
          <w:sz w:val="20"/>
          <w:szCs w:val="20"/>
        </w:rPr>
      </w:pPr>
      <w:r w:rsidRPr="00746864">
        <w:rPr>
          <w:rFonts w:ascii="Arial" w:hAnsi="Arial" w:cs="Arial"/>
          <w:i/>
          <w:iCs/>
          <w:sz w:val="20"/>
          <w:szCs w:val="20"/>
        </w:rPr>
        <w:t xml:space="preserve">Our position statements set out our views on an important area in nutrition and may provide guidance to researchers, regulatory agencies and policy makers, health professionals, the food industry and the media. This position statement was produced by expert nutrition scientists representing both organisations </w:t>
      </w:r>
      <w:r w:rsidR="009E0BDC" w:rsidRPr="00746864">
        <w:rPr>
          <w:rFonts w:ascii="Arial" w:hAnsi="Arial" w:cs="Arial"/>
          <w:i/>
          <w:iCs/>
          <w:sz w:val="20"/>
          <w:szCs w:val="20"/>
        </w:rPr>
        <w:t>and reviewed</w:t>
      </w:r>
      <w:r w:rsidRPr="00746864">
        <w:rPr>
          <w:rFonts w:ascii="Arial" w:hAnsi="Arial" w:cs="Arial"/>
          <w:i/>
          <w:iCs/>
          <w:sz w:val="20"/>
          <w:szCs w:val="20"/>
        </w:rPr>
        <w:t xml:space="preserve"> by the British Nutrition Foundation’s Scientific Committee and BDA's</w:t>
      </w:r>
      <w:r w:rsidRPr="00746864">
        <w:rPr>
          <w:rFonts w:ascii="Arial" w:eastAsia="Calibri" w:hAnsi="Arial" w:cs="Arial"/>
          <w:i/>
          <w:iCs/>
          <w:sz w:val="20"/>
          <w:szCs w:val="20"/>
        </w:rPr>
        <w:t xml:space="preserve"> specialist obesity and diabetes groups.</w:t>
      </w:r>
    </w:p>
    <w:p w14:paraId="12D1526D" w14:textId="77777777" w:rsidR="007B094A" w:rsidRPr="00746864" w:rsidRDefault="007B094A" w:rsidP="00746864">
      <w:pPr>
        <w:spacing w:line="360" w:lineRule="auto"/>
        <w:jc w:val="both"/>
        <w:rPr>
          <w:rFonts w:ascii="Arial" w:hAnsi="Arial" w:cs="Arial"/>
          <w:sz w:val="22"/>
          <w:szCs w:val="22"/>
        </w:rPr>
      </w:pPr>
    </w:p>
    <w:p w14:paraId="0353E8F5" w14:textId="25134400" w:rsidR="007B094A" w:rsidRPr="00746864" w:rsidRDefault="007B094A" w:rsidP="00746864">
      <w:pPr>
        <w:spacing w:line="360" w:lineRule="auto"/>
        <w:jc w:val="both"/>
        <w:rPr>
          <w:rFonts w:ascii="Arial" w:hAnsi="Arial" w:cs="Arial"/>
          <w:sz w:val="22"/>
          <w:szCs w:val="22"/>
        </w:rPr>
      </w:pPr>
      <w:r w:rsidRPr="00746864">
        <w:rPr>
          <w:rFonts w:ascii="Arial" w:hAnsi="Arial" w:cs="Arial"/>
          <w:sz w:val="22"/>
          <w:szCs w:val="22"/>
        </w:rPr>
        <w:t>The British Dietetic Association and British Nutrition Foundation support the use of prescribed GLP-1 RA and GLP/GIP RA*</w:t>
      </w:r>
      <w:r w:rsidR="00DE5C44" w:rsidRPr="00DE5C44">
        <w:t xml:space="preserve"> </w:t>
      </w:r>
      <w:r w:rsidR="00DE5C44" w:rsidRPr="00DE5C44">
        <w:rPr>
          <w:rFonts w:ascii="Arial" w:hAnsi="Arial" w:cs="Arial"/>
          <w:sz w:val="22"/>
          <w:szCs w:val="22"/>
        </w:rPr>
        <w:t>when prescribed safely and appropriately in line with national clinical guidelines</w:t>
      </w:r>
      <w:r w:rsidR="009F3844" w:rsidRPr="00746864">
        <w:rPr>
          <w:rFonts w:ascii="Arial" w:hAnsi="Arial" w:cs="Arial"/>
          <w:sz w:val="22"/>
          <w:szCs w:val="22"/>
        </w:rPr>
        <w:t>. These medications should be prescribed</w:t>
      </w:r>
      <w:r w:rsidRPr="00746864">
        <w:rPr>
          <w:rStyle w:val="cf01"/>
          <w:rFonts w:ascii="Arial" w:hAnsi="Arial" w:cs="Arial"/>
          <w:sz w:val="22"/>
          <w:szCs w:val="22"/>
        </w:rPr>
        <w:t xml:space="preserve"> alongside a reduced-calorie diet and increased physical activity</w:t>
      </w:r>
      <w:r w:rsidRPr="00746864">
        <w:rPr>
          <w:rFonts w:ascii="Arial" w:hAnsi="Arial" w:cs="Arial"/>
          <w:sz w:val="22"/>
          <w:szCs w:val="22"/>
        </w:rPr>
        <w:t xml:space="preserve"> for </w:t>
      </w:r>
      <w:r w:rsidR="00067EA3" w:rsidRPr="00746864">
        <w:rPr>
          <w:rFonts w:ascii="Arial" w:hAnsi="Arial" w:cs="Arial"/>
          <w:sz w:val="22"/>
          <w:szCs w:val="22"/>
        </w:rPr>
        <w:t xml:space="preserve">adults </w:t>
      </w:r>
      <w:r w:rsidRPr="00746864">
        <w:rPr>
          <w:rFonts w:ascii="Arial" w:hAnsi="Arial" w:cs="Arial"/>
          <w:sz w:val="22"/>
          <w:szCs w:val="22"/>
        </w:rPr>
        <w:t xml:space="preserve">living with obesity and/or type 2 diabetes with high risk </w:t>
      </w:r>
      <w:r w:rsidR="009F3844" w:rsidRPr="00746864">
        <w:rPr>
          <w:rFonts w:ascii="Arial" w:hAnsi="Arial" w:cs="Arial"/>
          <w:sz w:val="22"/>
          <w:szCs w:val="22"/>
        </w:rPr>
        <w:t xml:space="preserve">of </w:t>
      </w:r>
      <w:r w:rsidRPr="00746864">
        <w:rPr>
          <w:rFonts w:ascii="Arial" w:hAnsi="Arial" w:cs="Arial"/>
          <w:sz w:val="22"/>
          <w:szCs w:val="22"/>
        </w:rPr>
        <w:t>adverse effects of obesity. There is now considerable evidence of their efficacy at least in the shorter term, that they engender clinically significant weight loss, improvement in glycaemic control, cardio</w:t>
      </w:r>
      <w:r w:rsidR="00067EA3" w:rsidRPr="00746864">
        <w:rPr>
          <w:rFonts w:ascii="Arial" w:hAnsi="Arial" w:cs="Arial"/>
          <w:sz w:val="22"/>
          <w:szCs w:val="22"/>
        </w:rPr>
        <w:t xml:space="preserve">renal </w:t>
      </w:r>
      <w:r w:rsidRPr="00746864">
        <w:rPr>
          <w:rFonts w:ascii="Arial" w:hAnsi="Arial" w:cs="Arial"/>
          <w:sz w:val="22"/>
          <w:szCs w:val="22"/>
        </w:rPr>
        <w:t xml:space="preserve">protective benefit and improved quality of life. </w:t>
      </w:r>
    </w:p>
    <w:p w14:paraId="451CABD0" w14:textId="77777777" w:rsidR="007B094A" w:rsidRPr="00746864" w:rsidRDefault="007B094A" w:rsidP="00746864">
      <w:pPr>
        <w:spacing w:line="360" w:lineRule="auto"/>
        <w:jc w:val="both"/>
        <w:rPr>
          <w:rFonts w:ascii="Arial" w:hAnsi="Arial" w:cs="Arial"/>
          <w:sz w:val="22"/>
          <w:szCs w:val="22"/>
        </w:rPr>
      </w:pPr>
    </w:p>
    <w:p w14:paraId="70EF176E" w14:textId="66D0C561" w:rsidR="007C72A2" w:rsidRPr="00746864" w:rsidRDefault="007B094A" w:rsidP="00746864">
      <w:pPr>
        <w:spacing w:line="360" w:lineRule="auto"/>
        <w:jc w:val="both"/>
        <w:rPr>
          <w:rFonts w:ascii="Arial" w:hAnsi="Arial" w:cs="Arial"/>
          <w:sz w:val="22"/>
          <w:szCs w:val="22"/>
        </w:rPr>
      </w:pPr>
      <w:r w:rsidRPr="00746864">
        <w:rPr>
          <w:rFonts w:ascii="Arial" w:hAnsi="Arial" w:cs="Arial"/>
          <w:sz w:val="22"/>
          <w:szCs w:val="22"/>
        </w:rPr>
        <w:t xml:space="preserve">It should be noted that GLP-1 RA and GLP/GIP RA are not the solution to address the high and increasing prevalence of obesity. </w:t>
      </w:r>
      <w:r w:rsidR="007F511B">
        <w:rPr>
          <w:rFonts w:ascii="Arial" w:hAnsi="Arial" w:cs="Arial"/>
          <w:sz w:val="22"/>
          <w:szCs w:val="22"/>
        </w:rPr>
        <w:t>There are important considerations including public health policies and whole systems approaches needed to improve the food environment, cost of (and accessibility to) healthy foods and reduction in health inequity.</w:t>
      </w:r>
      <w:r w:rsidR="0048573B">
        <w:rPr>
          <w:rFonts w:ascii="Arial" w:hAnsi="Arial" w:cs="Arial"/>
          <w:sz w:val="22"/>
          <w:szCs w:val="22"/>
        </w:rPr>
        <w:t xml:space="preserve"> </w:t>
      </w:r>
      <w:r w:rsidRPr="00746864">
        <w:rPr>
          <w:rFonts w:ascii="Arial" w:hAnsi="Arial" w:cs="Arial"/>
          <w:sz w:val="22"/>
          <w:szCs w:val="22"/>
        </w:rPr>
        <w:t xml:space="preserve">However, these medications appear to offer an important treatment option to help reduce the risk of developing related chronic non-communicable diseases and achieve clinically significant weight loss. Prevention is an important aspect of the management of obesity and type 2 diabetes, and there is a pressing need to drive changes in the food environment to </w:t>
      </w:r>
      <w:r w:rsidRPr="00746864">
        <w:rPr>
          <w:rFonts w:ascii="Arial" w:eastAsia="Calibri" w:hAnsi="Arial" w:cs="Arial"/>
          <w:sz w:val="22"/>
          <w:szCs w:val="22"/>
        </w:rPr>
        <w:t>make it easier to eat healthier</w:t>
      </w:r>
      <w:r w:rsidR="006945A8" w:rsidRPr="00746864">
        <w:rPr>
          <w:rFonts w:ascii="Arial" w:eastAsia="Calibri" w:hAnsi="Arial" w:cs="Arial"/>
          <w:sz w:val="22"/>
          <w:szCs w:val="22"/>
        </w:rPr>
        <w:t xml:space="preserve"> diets</w:t>
      </w:r>
      <w:r w:rsidRPr="00746864">
        <w:rPr>
          <w:rFonts w:ascii="Arial" w:eastAsia="Calibri" w:hAnsi="Arial" w:cs="Arial"/>
          <w:sz w:val="22"/>
          <w:szCs w:val="22"/>
        </w:rPr>
        <w:t xml:space="preserve">. </w:t>
      </w:r>
      <w:r w:rsidRPr="00746864">
        <w:rPr>
          <w:rFonts w:ascii="Arial" w:eastAsia="Calibri" w:hAnsi="Arial" w:cs="Arial"/>
          <w:b/>
          <w:bCs/>
          <w:i/>
          <w:iCs/>
          <w:sz w:val="22"/>
          <w:szCs w:val="22"/>
        </w:rPr>
        <w:t>However</w:t>
      </w:r>
      <w:r w:rsidRPr="00746864">
        <w:rPr>
          <w:rFonts w:ascii="Arial" w:eastAsia="Calibri" w:hAnsi="Arial" w:cs="Arial"/>
          <w:b/>
          <w:bCs/>
          <w:i/>
          <w:iCs/>
          <w:color w:val="0F294A"/>
          <w:sz w:val="22"/>
          <w:szCs w:val="22"/>
        </w:rPr>
        <w:t xml:space="preserve">, </w:t>
      </w:r>
      <w:r w:rsidRPr="00746864">
        <w:rPr>
          <w:rFonts w:ascii="Arial" w:hAnsi="Arial" w:cs="Arial"/>
          <w:b/>
          <w:bCs/>
          <w:i/>
          <w:iCs/>
          <w:sz w:val="22"/>
          <w:szCs w:val="22"/>
        </w:rPr>
        <w:t xml:space="preserve">this statement addresses the treatment of people who already live with obesity and/or type 2 </w:t>
      </w:r>
      <w:r w:rsidRPr="00746864">
        <w:rPr>
          <w:rFonts w:ascii="Arial" w:hAnsi="Arial" w:cs="Arial"/>
          <w:b/>
          <w:bCs/>
          <w:sz w:val="22"/>
          <w:szCs w:val="22"/>
        </w:rPr>
        <w:t xml:space="preserve">diabetes, </w:t>
      </w:r>
      <w:r w:rsidRPr="00746864">
        <w:rPr>
          <w:rFonts w:ascii="Arial" w:hAnsi="Arial" w:cs="Arial"/>
          <w:sz w:val="22"/>
          <w:szCs w:val="22"/>
        </w:rPr>
        <w:t>who have high risk of ill health due to their weight</w:t>
      </w:r>
      <w:r w:rsidRPr="00746864">
        <w:rPr>
          <w:rFonts w:ascii="Arial" w:hAnsi="Arial" w:cs="Arial"/>
          <w:b/>
          <w:bCs/>
          <w:sz w:val="22"/>
          <w:szCs w:val="22"/>
        </w:rPr>
        <w:t>.</w:t>
      </w:r>
      <w:r w:rsidRPr="00746864">
        <w:rPr>
          <w:rFonts w:ascii="Arial" w:hAnsi="Arial" w:cs="Arial"/>
          <w:sz w:val="22"/>
          <w:szCs w:val="22"/>
        </w:rPr>
        <w:t xml:space="preserve"> </w:t>
      </w:r>
    </w:p>
    <w:p w14:paraId="2D2D4048" w14:textId="77777777" w:rsidR="007C72A2" w:rsidRPr="00746864" w:rsidRDefault="007C72A2" w:rsidP="00746864">
      <w:pPr>
        <w:spacing w:line="360" w:lineRule="auto"/>
        <w:jc w:val="both"/>
        <w:rPr>
          <w:rFonts w:ascii="Arial" w:hAnsi="Arial" w:cs="Arial"/>
          <w:sz w:val="22"/>
          <w:szCs w:val="22"/>
        </w:rPr>
      </w:pPr>
    </w:p>
    <w:p w14:paraId="58786654" w14:textId="7230FA85" w:rsidR="007B094A" w:rsidRPr="00746864" w:rsidRDefault="007B094A" w:rsidP="00746864">
      <w:pPr>
        <w:spacing w:line="360" w:lineRule="auto"/>
        <w:jc w:val="both"/>
        <w:rPr>
          <w:rFonts w:ascii="Arial" w:hAnsi="Arial" w:cs="Arial"/>
          <w:sz w:val="22"/>
          <w:szCs w:val="22"/>
        </w:rPr>
      </w:pPr>
      <w:r w:rsidRPr="00746864">
        <w:rPr>
          <w:rFonts w:ascii="Arial" w:hAnsi="Arial" w:cs="Arial"/>
          <w:sz w:val="22"/>
          <w:szCs w:val="22"/>
        </w:rPr>
        <w:t xml:space="preserve">It is essential that holistic support and management </w:t>
      </w:r>
      <w:r w:rsidR="006945A8" w:rsidRPr="00746864">
        <w:rPr>
          <w:rFonts w:ascii="Arial" w:hAnsi="Arial" w:cs="Arial"/>
          <w:sz w:val="22"/>
          <w:szCs w:val="22"/>
        </w:rPr>
        <w:t>are</w:t>
      </w:r>
      <w:r w:rsidRPr="00746864">
        <w:rPr>
          <w:rFonts w:ascii="Arial" w:hAnsi="Arial" w:cs="Arial"/>
          <w:sz w:val="22"/>
          <w:szCs w:val="22"/>
        </w:rPr>
        <w:t xml:space="preserve"> available for people living with obesity</w:t>
      </w:r>
      <w:r w:rsidR="00067EA3" w:rsidRPr="00746864">
        <w:rPr>
          <w:rFonts w:ascii="Arial" w:hAnsi="Arial" w:cs="Arial"/>
          <w:sz w:val="22"/>
          <w:szCs w:val="22"/>
        </w:rPr>
        <w:t>, including an assessment of potential contraindications to medications such as eating disorder and mental health risk</w:t>
      </w:r>
      <w:r w:rsidRPr="00746864">
        <w:rPr>
          <w:rFonts w:ascii="Arial" w:hAnsi="Arial" w:cs="Arial"/>
          <w:sz w:val="22"/>
          <w:szCs w:val="22"/>
        </w:rPr>
        <w:t xml:space="preserve">. If these medications are prescribed, people should have access to a multi-disciplinary team including physicians, psychologists, and specialist dietitians to provide the necessary support to help them make and sustain the required dietary and other lifestyle </w:t>
      </w:r>
      <w:r w:rsidRPr="00746864">
        <w:rPr>
          <w:rFonts w:ascii="Arial" w:hAnsi="Arial" w:cs="Arial"/>
          <w:sz w:val="22"/>
          <w:szCs w:val="22"/>
        </w:rPr>
        <w:lastRenderedPageBreak/>
        <w:t>changes. Dietary and physical activity advice</w:t>
      </w:r>
      <w:r w:rsidR="00776665" w:rsidRPr="00746864">
        <w:rPr>
          <w:rFonts w:ascii="Arial" w:hAnsi="Arial" w:cs="Arial"/>
          <w:sz w:val="22"/>
          <w:szCs w:val="22"/>
        </w:rPr>
        <w:t xml:space="preserve">, that </w:t>
      </w:r>
      <w:r w:rsidR="006945A8" w:rsidRPr="00746864">
        <w:rPr>
          <w:rFonts w:ascii="Arial" w:hAnsi="Arial" w:cs="Arial"/>
          <w:sz w:val="22"/>
          <w:szCs w:val="22"/>
        </w:rPr>
        <w:t>promotes</w:t>
      </w:r>
      <w:r w:rsidR="00776665" w:rsidRPr="00746864">
        <w:rPr>
          <w:rFonts w:ascii="Arial" w:hAnsi="Arial" w:cs="Arial"/>
          <w:sz w:val="22"/>
          <w:szCs w:val="22"/>
        </w:rPr>
        <w:t xml:space="preserve"> </w:t>
      </w:r>
      <w:r w:rsidR="000C608B" w:rsidRPr="00746864">
        <w:rPr>
          <w:rStyle w:val="cf01"/>
          <w:rFonts w:ascii="Arial" w:hAnsi="Arial" w:cs="Arial"/>
          <w:sz w:val="22"/>
          <w:szCs w:val="22"/>
        </w:rPr>
        <w:t>maintenance</w:t>
      </w:r>
      <w:r w:rsidR="006945A8" w:rsidRPr="00746864">
        <w:rPr>
          <w:rStyle w:val="cf01"/>
          <w:rFonts w:ascii="Arial" w:hAnsi="Arial" w:cs="Arial"/>
          <w:sz w:val="22"/>
          <w:szCs w:val="22"/>
        </w:rPr>
        <w:t xml:space="preserve"> of</w:t>
      </w:r>
      <w:r w:rsidR="00776665" w:rsidRPr="00746864">
        <w:rPr>
          <w:rStyle w:val="cf01"/>
          <w:rFonts w:ascii="Arial" w:hAnsi="Arial" w:cs="Arial"/>
          <w:sz w:val="22"/>
          <w:szCs w:val="22"/>
        </w:rPr>
        <w:t xml:space="preserve"> muscle mass and function</w:t>
      </w:r>
      <w:r w:rsidR="00776665" w:rsidRPr="00746864">
        <w:rPr>
          <w:rFonts w:ascii="Arial" w:hAnsi="Arial" w:cs="Arial"/>
          <w:i/>
          <w:iCs/>
          <w:sz w:val="22"/>
          <w:szCs w:val="22"/>
        </w:rPr>
        <w:t xml:space="preserve"> </w:t>
      </w:r>
      <w:r w:rsidR="00776665" w:rsidRPr="00746864">
        <w:rPr>
          <w:rFonts w:ascii="Arial" w:hAnsi="Arial" w:cs="Arial"/>
          <w:sz w:val="22"/>
          <w:szCs w:val="22"/>
        </w:rPr>
        <w:t>is</w:t>
      </w:r>
      <w:r w:rsidRPr="00746864">
        <w:rPr>
          <w:rFonts w:ascii="Arial" w:hAnsi="Arial" w:cs="Arial"/>
          <w:sz w:val="22"/>
          <w:szCs w:val="22"/>
        </w:rPr>
        <w:t xml:space="preserve"> key alongside behaviour change support; people should not be prescribed the medication</w:t>
      </w:r>
      <w:r w:rsidR="009F3844" w:rsidRPr="00746864">
        <w:rPr>
          <w:rFonts w:ascii="Arial" w:hAnsi="Arial" w:cs="Arial"/>
          <w:sz w:val="22"/>
          <w:szCs w:val="22"/>
        </w:rPr>
        <w:t xml:space="preserve"> alone</w:t>
      </w:r>
      <w:r w:rsidRPr="00746864">
        <w:rPr>
          <w:rFonts w:ascii="Arial" w:hAnsi="Arial" w:cs="Arial"/>
          <w:sz w:val="22"/>
          <w:szCs w:val="22"/>
        </w:rPr>
        <w:t xml:space="preserve">. </w:t>
      </w:r>
      <w:r w:rsidR="00067EA3" w:rsidRPr="00746864">
        <w:rPr>
          <w:rFonts w:ascii="Arial" w:hAnsi="Arial" w:cs="Arial"/>
          <w:sz w:val="22"/>
          <w:szCs w:val="22"/>
        </w:rPr>
        <w:t>T</w:t>
      </w:r>
      <w:r w:rsidRPr="00746864">
        <w:rPr>
          <w:rFonts w:ascii="Arial" w:hAnsi="Arial" w:cs="Arial"/>
          <w:sz w:val="22"/>
          <w:szCs w:val="22"/>
        </w:rPr>
        <w:t>he wider family and social context should also be considered, rather than exclusively focussing on the individual. We also acknowledge that not everyone may wish to use this class of medication; individuals who find they cannot tolerate these medications, or where there are contraindications to medication, should be offered access to comparable support services.</w:t>
      </w:r>
    </w:p>
    <w:p w14:paraId="1DFA7E95" w14:textId="77777777" w:rsidR="007B094A" w:rsidRPr="00746864" w:rsidRDefault="007B094A" w:rsidP="00746864">
      <w:pPr>
        <w:spacing w:line="360" w:lineRule="auto"/>
        <w:jc w:val="both"/>
        <w:rPr>
          <w:rFonts w:ascii="Arial" w:hAnsi="Arial" w:cs="Arial"/>
          <w:sz w:val="22"/>
          <w:szCs w:val="22"/>
        </w:rPr>
      </w:pPr>
    </w:p>
    <w:p w14:paraId="26832EFF" w14:textId="7270EE8A" w:rsidR="007B094A" w:rsidRPr="00746864" w:rsidRDefault="007B094A" w:rsidP="00746864">
      <w:pPr>
        <w:spacing w:line="360" w:lineRule="auto"/>
        <w:jc w:val="both"/>
        <w:rPr>
          <w:rFonts w:ascii="Arial" w:hAnsi="Arial" w:cs="Arial"/>
          <w:sz w:val="22"/>
          <w:szCs w:val="22"/>
        </w:rPr>
      </w:pPr>
      <w:r w:rsidRPr="00746864">
        <w:rPr>
          <w:rFonts w:ascii="Arial" w:hAnsi="Arial" w:cs="Arial"/>
          <w:sz w:val="22"/>
          <w:szCs w:val="22"/>
        </w:rPr>
        <w:t>Both organisations</w:t>
      </w:r>
      <w:r w:rsidR="00E30D68" w:rsidRPr="00746864">
        <w:rPr>
          <w:rFonts w:ascii="Arial" w:hAnsi="Arial" w:cs="Arial"/>
          <w:sz w:val="22"/>
          <w:szCs w:val="22"/>
        </w:rPr>
        <w:t xml:space="preserve"> </w:t>
      </w:r>
      <w:r w:rsidR="00067EA3" w:rsidRPr="00746864">
        <w:rPr>
          <w:rFonts w:ascii="Arial" w:hAnsi="Arial" w:cs="Arial"/>
          <w:sz w:val="22"/>
          <w:szCs w:val="22"/>
        </w:rPr>
        <w:t>agree</w:t>
      </w:r>
      <w:r w:rsidR="00E30D68" w:rsidRPr="00746864">
        <w:rPr>
          <w:rFonts w:ascii="Arial" w:hAnsi="Arial" w:cs="Arial"/>
          <w:sz w:val="22"/>
          <w:szCs w:val="22"/>
        </w:rPr>
        <w:t xml:space="preserve"> with </w:t>
      </w:r>
      <w:r w:rsidR="006E194D" w:rsidRPr="00746864">
        <w:rPr>
          <w:rFonts w:ascii="Arial" w:hAnsi="Arial" w:cs="Arial"/>
          <w:sz w:val="22"/>
          <w:szCs w:val="22"/>
        </w:rPr>
        <w:t xml:space="preserve">current </w:t>
      </w:r>
      <w:r w:rsidR="005737E9" w:rsidRPr="00746864">
        <w:rPr>
          <w:rFonts w:ascii="Arial" w:hAnsi="Arial" w:cs="Arial"/>
          <w:sz w:val="22"/>
          <w:szCs w:val="22"/>
        </w:rPr>
        <w:t>recommendations for prescription of th</w:t>
      </w:r>
      <w:r w:rsidR="00EA718A" w:rsidRPr="00746864">
        <w:rPr>
          <w:rFonts w:ascii="Arial" w:hAnsi="Arial" w:cs="Arial"/>
          <w:sz w:val="22"/>
          <w:szCs w:val="22"/>
        </w:rPr>
        <w:t>ese</w:t>
      </w:r>
      <w:r w:rsidR="005737E9" w:rsidRPr="00746864">
        <w:rPr>
          <w:rFonts w:ascii="Arial" w:hAnsi="Arial" w:cs="Arial"/>
          <w:sz w:val="22"/>
          <w:szCs w:val="22"/>
        </w:rPr>
        <w:t xml:space="preserve"> class</w:t>
      </w:r>
      <w:r w:rsidR="00DF4494" w:rsidRPr="00746864">
        <w:rPr>
          <w:rFonts w:ascii="Arial" w:hAnsi="Arial" w:cs="Arial"/>
          <w:sz w:val="22"/>
          <w:szCs w:val="22"/>
        </w:rPr>
        <w:t>es</w:t>
      </w:r>
      <w:r w:rsidR="005737E9" w:rsidRPr="00746864">
        <w:rPr>
          <w:rFonts w:ascii="Arial" w:hAnsi="Arial" w:cs="Arial"/>
          <w:sz w:val="22"/>
          <w:szCs w:val="22"/>
        </w:rPr>
        <w:t xml:space="preserve"> of medications</w:t>
      </w:r>
      <w:r w:rsidR="00E31532" w:rsidRPr="00746864">
        <w:rPr>
          <w:rFonts w:ascii="Arial" w:hAnsi="Arial" w:cs="Arial"/>
          <w:sz w:val="22"/>
          <w:szCs w:val="22"/>
        </w:rPr>
        <w:t xml:space="preserve"> (NICE 2023</w:t>
      </w:r>
      <w:r w:rsidR="00D462CB">
        <w:rPr>
          <w:rFonts w:ascii="Arial" w:hAnsi="Arial" w:cs="Arial"/>
          <w:sz w:val="22"/>
          <w:szCs w:val="22"/>
        </w:rPr>
        <w:t>, SMC 2023</w:t>
      </w:r>
      <w:r w:rsidR="00E31532" w:rsidRPr="00746864">
        <w:rPr>
          <w:rFonts w:ascii="Arial" w:hAnsi="Arial" w:cs="Arial"/>
          <w:sz w:val="22"/>
          <w:szCs w:val="22"/>
        </w:rPr>
        <w:t>)</w:t>
      </w:r>
      <w:r w:rsidR="005737E9" w:rsidRPr="00746864">
        <w:rPr>
          <w:rFonts w:ascii="Arial" w:hAnsi="Arial" w:cs="Arial"/>
          <w:sz w:val="22"/>
          <w:szCs w:val="22"/>
        </w:rPr>
        <w:t xml:space="preserve">. </w:t>
      </w:r>
      <w:r w:rsidR="006945A8" w:rsidRPr="00746864">
        <w:rPr>
          <w:rFonts w:ascii="Arial" w:hAnsi="Arial" w:cs="Arial"/>
          <w:sz w:val="22"/>
          <w:szCs w:val="22"/>
        </w:rPr>
        <w:t xml:space="preserve">However, </w:t>
      </w:r>
      <w:r w:rsidR="00067EA3" w:rsidRPr="00746864">
        <w:rPr>
          <w:rFonts w:ascii="Arial" w:hAnsi="Arial" w:cs="Arial"/>
          <w:sz w:val="22"/>
          <w:szCs w:val="22"/>
        </w:rPr>
        <w:t>care including dietary and behaviour change support should continue as long as indicated and beyond medication cessation.  I</w:t>
      </w:r>
      <w:r w:rsidR="005737E9" w:rsidRPr="00746864">
        <w:rPr>
          <w:rFonts w:ascii="Arial" w:hAnsi="Arial" w:cs="Arial"/>
          <w:sz w:val="22"/>
          <w:szCs w:val="22"/>
        </w:rPr>
        <w:t>t is</w:t>
      </w:r>
      <w:r w:rsidR="00067EA3" w:rsidRPr="00746864">
        <w:rPr>
          <w:rFonts w:ascii="Arial" w:hAnsi="Arial" w:cs="Arial"/>
          <w:sz w:val="22"/>
          <w:szCs w:val="22"/>
        </w:rPr>
        <w:t xml:space="preserve"> also</w:t>
      </w:r>
      <w:r w:rsidRPr="00746864">
        <w:rPr>
          <w:rFonts w:ascii="Arial" w:hAnsi="Arial" w:cs="Arial"/>
          <w:sz w:val="22"/>
          <w:szCs w:val="22"/>
        </w:rPr>
        <w:t xml:space="preserve"> </w:t>
      </w:r>
      <w:r w:rsidR="009E0BDC" w:rsidRPr="00746864">
        <w:rPr>
          <w:rFonts w:ascii="Arial" w:hAnsi="Arial" w:cs="Arial"/>
          <w:sz w:val="22"/>
          <w:szCs w:val="22"/>
        </w:rPr>
        <w:t>hope</w:t>
      </w:r>
      <w:r w:rsidR="005737E9" w:rsidRPr="00746864">
        <w:rPr>
          <w:rFonts w:ascii="Arial" w:hAnsi="Arial" w:cs="Arial"/>
          <w:sz w:val="22"/>
          <w:szCs w:val="22"/>
        </w:rPr>
        <w:t>d</w:t>
      </w:r>
      <w:r w:rsidR="009E0BDC" w:rsidRPr="00746864">
        <w:rPr>
          <w:rFonts w:ascii="Arial" w:hAnsi="Arial" w:cs="Arial"/>
          <w:sz w:val="22"/>
          <w:szCs w:val="22"/>
        </w:rPr>
        <w:t xml:space="preserve"> that where</w:t>
      </w:r>
      <w:r w:rsidRPr="00746864">
        <w:rPr>
          <w:rFonts w:ascii="Arial" w:hAnsi="Arial" w:cs="Arial"/>
          <w:sz w:val="22"/>
          <w:szCs w:val="22"/>
        </w:rPr>
        <w:t xml:space="preserve"> indicated these medications</w:t>
      </w:r>
      <w:r w:rsidR="006945A8" w:rsidRPr="00746864">
        <w:rPr>
          <w:rFonts w:ascii="Arial" w:hAnsi="Arial" w:cs="Arial"/>
          <w:sz w:val="22"/>
          <w:szCs w:val="22"/>
        </w:rPr>
        <w:t>,</w:t>
      </w:r>
      <w:r w:rsidRPr="00746864">
        <w:rPr>
          <w:rFonts w:ascii="Arial" w:hAnsi="Arial" w:cs="Arial"/>
          <w:sz w:val="22"/>
          <w:szCs w:val="22"/>
        </w:rPr>
        <w:t xml:space="preserve"> </w:t>
      </w:r>
      <w:r w:rsidR="00D41A0A" w:rsidRPr="00746864">
        <w:rPr>
          <w:rFonts w:ascii="Arial" w:hAnsi="Arial" w:cs="Arial"/>
          <w:sz w:val="22"/>
          <w:szCs w:val="22"/>
        </w:rPr>
        <w:t>alongside ongoing suppo</w:t>
      </w:r>
      <w:r w:rsidR="009A5B71" w:rsidRPr="00746864">
        <w:rPr>
          <w:rFonts w:ascii="Arial" w:hAnsi="Arial" w:cs="Arial"/>
          <w:sz w:val="22"/>
          <w:szCs w:val="22"/>
        </w:rPr>
        <w:t>rt</w:t>
      </w:r>
      <w:r w:rsidR="006945A8" w:rsidRPr="00746864">
        <w:rPr>
          <w:rFonts w:ascii="Arial" w:hAnsi="Arial" w:cs="Arial"/>
          <w:sz w:val="22"/>
          <w:szCs w:val="22"/>
        </w:rPr>
        <w:t>,</w:t>
      </w:r>
      <w:r w:rsidR="009A5B71" w:rsidRPr="00746864">
        <w:rPr>
          <w:rFonts w:ascii="Arial" w:hAnsi="Arial" w:cs="Arial"/>
          <w:sz w:val="22"/>
          <w:szCs w:val="22"/>
        </w:rPr>
        <w:t xml:space="preserve"> </w:t>
      </w:r>
      <w:r w:rsidR="009E0BDC" w:rsidRPr="00746864">
        <w:rPr>
          <w:rFonts w:ascii="Arial" w:hAnsi="Arial" w:cs="Arial"/>
          <w:sz w:val="22"/>
          <w:szCs w:val="22"/>
        </w:rPr>
        <w:t>can be</w:t>
      </w:r>
      <w:r w:rsidRPr="00746864">
        <w:rPr>
          <w:rFonts w:ascii="Arial" w:hAnsi="Arial" w:cs="Arial"/>
          <w:sz w:val="22"/>
          <w:szCs w:val="22"/>
        </w:rPr>
        <w:t xml:space="preserve"> prescribed for the long-term</w:t>
      </w:r>
      <w:r w:rsidR="00067EA3" w:rsidRPr="00746864">
        <w:rPr>
          <w:rFonts w:ascii="Arial" w:hAnsi="Arial" w:cs="Arial"/>
          <w:sz w:val="22"/>
          <w:szCs w:val="22"/>
        </w:rPr>
        <w:t>. As o</w:t>
      </w:r>
      <w:r w:rsidRPr="00746864">
        <w:rPr>
          <w:rFonts w:ascii="Arial" w:hAnsi="Arial" w:cs="Arial"/>
          <w:sz w:val="22"/>
          <w:szCs w:val="22"/>
        </w:rPr>
        <w:t xml:space="preserve">besity </w:t>
      </w:r>
      <w:r w:rsidR="00C835AB" w:rsidRPr="00746864">
        <w:rPr>
          <w:rFonts w:ascii="Arial" w:hAnsi="Arial" w:cs="Arial"/>
          <w:sz w:val="22"/>
          <w:szCs w:val="22"/>
        </w:rPr>
        <w:t xml:space="preserve">is a </w:t>
      </w:r>
      <w:r w:rsidRPr="00746864">
        <w:rPr>
          <w:rFonts w:ascii="Arial" w:hAnsi="Arial" w:cs="Arial"/>
          <w:sz w:val="22"/>
          <w:szCs w:val="22"/>
        </w:rPr>
        <w:t>complex</w:t>
      </w:r>
      <w:r w:rsidR="00C835AB" w:rsidRPr="00746864">
        <w:rPr>
          <w:rFonts w:ascii="Arial" w:hAnsi="Arial" w:cs="Arial"/>
          <w:sz w:val="22"/>
          <w:szCs w:val="22"/>
        </w:rPr>
        <w:t>,</w:t>
      </w:r>
      <w:r w:rsidR="00746864" w:rsidRPr="00746864">
        <w:rPr>
          <w:rFonts w:ascii="Arial" w:hAnsi="Arial" w:cs="Arial"/>
          <w:sz w:val="22"/>
          <w:szCs w:val="22"/>
        </w:rPr>
        <w:t xml:space="preserve"> </w:t>
      </w:r>
      <w:r w:rsidR="009E0BDC" w:rsidRPr="00746864">
        <w:rPr>
          <w:rFonts w:ascii="Arial" w:hAnsi="Arial" w:cs="Arial"/>
          <w:sz w:val="22"/>
          <w:szCs w:val="22"/>
        </w:rPr>
        <w:t>relapsing,</w:t>
      </w:r>
      <w:r w:rsidR="00067EA3" w:rsidRPr="00746864">
        <w:rPr>
          <w:rFonts w:ascii="Arial" w:hAnsi="Arial" w:cs="Arial"/>
          <w:sz w:val="22"/>
          <w:szCs w:val="22"/>
        </w:rPr>
        <w:t xml:space="preserve"> long term</w:t>
      </w:r>
      <w:r w:rsidR="00C835AB" w:rsidRPr="00746864">
        <w:rPr>
          <w:rFonts w:ascii="Arial" w:hAnsi="Arial" w:cs="Arial"/>
          <w:sz w:val="22"/>
          <w:szCs w:val="22"/>
        </w:rPr>
        <w:t xml:space="preserve"> condition,</w:t>
      </w:r>
      <w:r w:rsidR="00067EA3" w:rsidRPr="00746864">
        <w:rPr>
          <w:rFonts w:ascii="Arial" w:hAnsi="Arial" w:cs="Arial"/>
          <w:sz w:val="22"/>
          <w:szCs w:val="22"/>
        </w:rPr>
        <w:t xml:space="preserve"> medication support may be prudent</w:t>
      </w:r>
      <w:r w:rsidR="009E0BDC" w:rsidRPr="00746864">
        <w:rPr>
          <w:rFonts w:ascii="Arial" w:hAnsi="Arial" w:cs="Arial"/>
          <w:sz w:val="22"/>
          <w:szCs w:val="22"/>
        </w:rPr>
        <w:t xml:space="preserve"> </w:t>
      </w:r>
      <w:r w:rsidR="009F3844" w:rsidRPr="00746864">
        <w:rPr>
          <w:rFonts w:ascii="Arial" w:hAnsi="Arial" w:cs="Arial"/>
          <w:sz w:val="22"/>
          <w:szCs w:val="22"/>
        </w:rPr>
        <w:t xml:space="preserve">in a </w:t>
      </w:r>
      <w:r w:rsidR="009E0BDC" w:rsidRPr="00746864">
        <w:rPr>
          <w:rFonts w:ascii="Arial" w:hAnsi="Arial" w:cs="Arial"/>
          <w:sz w:val="22"/>
          <w:szCs w:val="22"/>
        </w:rPr>
        <w:t>similar</w:t>
      </w:r>
      <w:r w:rsidRPr="00746864">
        <w:rPr>
          <w:rFonts w:ascii="Arial" w:hAnsi="Arial" w:cs="Arial"/>
          <w:sz w:val="22"/>
          <w:szCs w:val="22"/>
        </w:rPr>
        <w:t xml:space="preserve"> </w:t>
      </w:r>
      <w:r w:rsidR="009F3844" w:rsidRPr="00746864">
        <w:rPr>
          <w:rFonts w:ascii="Arial" w:hAnsi="Arial" w:cs="Arial"/>
          <w:sz w:val="22"/>
          <w:szCs w:val="22"/>
        </w:rPr>
        <w:t xml:space="preserve">way </w:t>
      </w:r>
      <w:r w:rsidRPr="00746864">
        <w:rPr>
          <w:rFonts w:ascii="Arial" w:hAnsi="Arial" w:cs="Arial"/>
          <w:sz w:val="22"/>
          <w:szCs w:val="22"/>
        </w:rPr>
        <w:t xml:space="preserve">to treatments prescribed for other chronic conditions such as anti-hypertensives, lipid-lowering and diabetes medications which are not stopped when tolerated and effective.  There is a need to stop stigmatising people living with obesity by only offering them what appears to </w:t>
      </w:r>
      <w:r w:rsidR="001651D5" w:rsidRPr="00746864">
        <w:rPr>
          <w:rFonts w:ascii="Arial" w:hAnsi="Arial" w:cs="Arial"/>
          <w:sz w:val="22"/>
          <w:szCs w:val="22"/>
        </w:rPr>
        <w:t>be time</w:t>
      </w:r>
      <w:r w:rsidR="00D73A07" w:rsidRPr="00746864">
        <w:rPr>
          <w:rFonts w:ascii="Arial" w:hAnsi="Arial" w:cs="Arial"/>
          <w:sz w:val="22"/>
          <w:szCs w:val="22"/>
        </w:rPr>
        <w:t>-</w:t>
      </w:r>
      <w:r w:rsidRPr="00746864">
        <w:rPr>
          <w:rFonts w:ascii="Arial" w:hAnsi="Arial" w:cs="Arial"/>
          <w:sz w:val="22"/>
          <w:szCs w:val="22"/>
        </w:rPr>
        <w:t xml:space="preserve">limited </w:t>
      </w:r>
      <w:r w:rsidR="009E0BDC" w:rsidRPr="00746864">
        <w:rPr>
          <w:rFonts w:ascii="Arial" w:hAnsi="Arial" w:cs="Arial"/>
          <w:sz w:val="22"/>
          <w:szCs w:val="22"/>
        </w:rPr>
        <w:t>support (</w:t>
      </w:r>
      <w:r w:rsidRPr="00746864">
        <w:rPr>
          <w:rFonts w:ascii="Arial" w:hAnsi="Arial" w:cs="Arial"/>
          <w:sz w:val="22"/>
          <w:szCs w:val="22"/>
        </w:rPr>
        <w:t>2 years, NICE 2023</w:t>
      </w:r>
      <w:r w:rsidR="009E0BDC" w:rsidRPr="00746864">
        <w:rPr>
          <w:rFonts w:ascii="Arial" w:hAnsi="Arial" w:cs="Arial"/>
          <w:sz w:val="22"/>
          <w:szCs w:val="22"/>
        </w:rPr>
        <w:t>).</w:t>
      </w:r>
      <w:r w:rsidRPr="00746864">
        <w:rPr>
          <w:rFonts w:ascii="Arial" w:hAnsi="Arial" w:cs="Arial"/>
          <w:sz w:val="22"/>
          <w:szCs w:val="22"/>
        </w:rPr>
        <w:t xml:space="preserve"> However, this is subject to continued long-term evaluation of the safety and effectiveness of these new medications. </w:t>
      </w:r>
      <w:r w:rsidR="009F3844" w:rsidRPr="00746864">
        <w:rPr>
          <w:rFonts w:ascii="Arial" w:hAnsi="Arial" w:cs="Arial"/>
          <w:sz w:val="22"/>
          <w:szCs w:val="22"/>
        </w:rPr>
        <w:t>We hope that w</w:t>
      </w:r>
      <w:r w:rsidRPr="00746864">
        <w:rPr>
          <w:rFonts w:ascii="Arial" w:hAnsi="Arial" w:cs="Arial"/>
          <w:sz w:val="22"/>
          <w:szCs w:val="22"/>
        </w:rPr>
        <w:t>ith further published data, including studies from the real-life setting, this temporary access to effective medications may change.</w:t>
      </w:r>
    </w:p>
    <w:p w14:paraId="11AEBBFD" w14:textId="77777777" w:rsidR="007B094A" w:rsidRPr="00746864" w:rsidRDefault="007B094A" w:rsidP="00746864">
      <w:pPr>
        <w:spacing w:line="360" w:lineRule="auto"/>
        <w:jc w:val="both"/>
        <w:rPr>
          <w:rFonts w:ascii="Arial" w:hAnsi="Arial" w:cs="Arial"/>
          <w:sz w:val="22"/>
          <w:szCs w:val="22"/>
        </w:rPr>
      </w:pPr>
    </w:p>
    <w:p w14:paraId="07B6BA37" w14:textId="17E1223F" w:rsidR="00F133C8" w:rsidRPr="00746864" w:rsidRDefault="007B094A" w:rsidP="00746864">
      <w:pPr>
        <w:spacing w:line="360" w:lineRule="auto"/>
        <w:jc w:val="both"/>
        <w:rPr>
          <w:rFonts w:ascii="Arial" w:hAnsi="Arial" w:cs="Arial"/>
        </w:rPr>
      </w:pPr>
      <w:r w:rsidRPr="00746864">
        <w:rPr>
          <w:rFonts w:ascii="Arial" w:hAnsi="Arial" w:cs="Arial"/>
          <w:sz w:val="22"/>
          <w:szCs w:val="22"/>
        </w:rPr>
        <w:t>These medications appear to offer a new option for people living with obesity and/or type 2 diabetes within the current obesity treatment pathways that include lifestyle advice and bariatric surgery and should be offered as part of the available comprehensive</w:t>
      </w:r>
      <w:r w:rsidR="00067EA3" w:rsidRPr="00746864">
        <w:rPr>
          <w:rFonts w:ascii="Arial" w:hAnsi="Arial" w:cs="Arial"/>
          <w:sz w:val="22"/>
          <w:szCs w:val="22"/>
        </w:rPr>
        <w:t xml:space="preserve"> and fully inclusive </w:t>
      </w:r>
      <w:r w:rsidRPr="00746864">
        <w:rPr>
          <w:rFonts w:ascii="Arial" w:hAnsi="Arial" w:cs="Arial"/>
          <w:sz w:val="22"/>
          <w:szCs w:val="22"/>
        </w:rPr>
        <w:t>treatment options within the National Health Service.</w:t>
      </w:r>
    </w:p>
    <w:sectPr w:rsidR="00F133C8" w:rsidRPr="00746864">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103C1" w14:textId="77777777" w:rsidR="003A5ECF" w:rsidRDefault="003A5ECF">
      <w:r>
        <w:separator/>
      </w:r>
    </w:p>
  </w:endnote>
  <w:endnote w:type="continuationSeparator" w:id="0">
    <w:p w14:paraId="3A4460D3" w14:textId="77777777" w:rsidR="003A5ECF" w:rsidRDefault="003A5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4898F" w14:textId="398FEA84" w:rsidR="008C625F" w:rsidRPr="008E781B" w:rsidRDefault="003E6DAA">
    <w:pPr>
      <w:pStyle w:val="Footer"/>
      <w:rPr>
        <w:sz w:val="20"/>
        <w:szCs w:val="20"/>
      </w:rPr>
    </w:pPr>
    <w:r>
      <w:rPr>
        <w:sz w:val="20"/>
        <w:szCs w:val="20"/>
      </w:rPr>
      <w:t>*</w:t>
    </w:r>
    <w:r w:rsidRPr="00C06E03">
      <w:rPr>
        <w:sz w:val="20"/>
        <w:szCs w:val="20"/>
      </w:rPr>
      <w:t xml:space="preserve"> </w:t>
    </w:r>
    <w:r w:rsidRPr="008E781B">
      <w:rPr>
        <w:sz w:val="20"/>
        <w:szCs w:val="20"/>
      </w:rPr>
      <w:t>Glucagon Like-peptide Receptor Agonists (GLP-1 RA) and Glucose-dependent insulinotropic polypeptide</w:t>
    </w:r>
    <w:r>
      <w:rPr>
        <w:sz w:val="20"/>
        <w:szCs w:val="20"/>
      </w:rPr>
      <w:t xml:space="preserve"> or Gastric Inhibitory Peptide (GIP-RA). Note: </w:t>
    </w:r>
    <w:proofErr w:type="spellStart"/>
    <w:r>
      <w:rPr>
        <w:sz w:val="20"/>
        <w:szCs w:val="20"/>
      </w:rPr>
      <w:t>Semaglutide</w:t>
    </w:r>
    <w:proofErr w:type="spellEnd"/>
    <w:r>
      <w:rPr>
        <w:sz w:val="20"/>
        <w:szCs w:val="20"/>
      </w:rPr>
      <w:t xml:space="preserve"> 2.4mg/Liraglutide 3.0mg are GLP-1 RA that are licenced for weight loss; </w:t>
    </w:r>
    <w:proofErr w:type="spellStart"/>
    <w:r>
      <w:rPr>
        <w:sz w:val="20"/>
        <w:szCs w:val="20"/>
      </w:rPr>
      <w:t>Semaglutide</w:t>
    </w:r>
    <w:proofErr w:type="spellEnd"/>
    <w:r>
      <w:rPr>
        <w:sz w:val="20"/>
        <w:szCs w:val="20"/>
      </w:rPr>
      <w:t xml:space="preserve"> 0.25, 0.5, 1.0mg; Liraglutide 1.8mg GLP-1 RA and </w:t>
    </w:r>
    <w:proofErr w:type="spellStart"/>
    <w:r>
      <w:rPr>
        <w:sz w:val="20"/>
        <w:szCs w:val="20"/>
      </w:rPr>
      <w:t>Ti</w:t>
    </w:r>
    <w:r w:rsidR="00E5305E">
      <w:rPr>
        <w:sz w:val="20"/>
        <w:szCs w:val="20"/>
      </w:rPr>
      <w:t>r</w:t>
    </w:r>
    <w:r>
      <w:rPr>
        <w:sz w:val="20"/>
        <w:szCs w:val="20"/>
      </w:rPr>
      <w:t>zep</w:t>
    </w:r>
    <w:r w:rsidR="00E5305E">
      <w:rPr>
        <w:sz w:val="20"/>
        <w:szCs w:val="20"/>
      </w:rPr>
      <w:t>a</w:t>
    </w:r>
    <w:r>
      <w:rPr>
        <w:sz w:val="20"/>
        <w:szCs w:val="20"/>
      </w:rPr>
      <w:t>tide</w:t>
    </w:r>
    <w:proofErr w:type="spellEnd"/>
    <w:r>
      <w:rPr>
        <w:sz w:val="20"/>
        <w:szCs w:val="20"/>
      </w:rPr>
      <w:t xml:space="preserve"> is a GLP-1/GIP RA and are all licenced for Type 2 Diabetes management.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73839" w14:textId="77777777" w:rsidR="003A5ECF" w:rsidRDefault="003A5ECF">
      <w:r>
        <w:separator/>
      </w:r>
    </w:p>
  </w:footnote>
  <w:footnote w:type="continuationSeparator" w:id="0">
    <w:p w14:paraId="020F117B" w14:textId="77777777" w:rsidR="003A5ECF" w:rsidRDefault="003A5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tblGrid>
    <w:tr w:rsidR="005B6ADC" w:rsidRPr="007F511B" w14:paraId="406F1E70" w14:textId="77777777">
      <w:trPr>
        <w:trHeight w:val="300"/>
      </w:trPr>
      <w:tc>
        <w:tcPr>
          <w:tcW w:w="3005" w:type="dxa"/>
        </w:tcPr>
        <w:p w14:paraId="707CC4BC" w14:textId="722A4545" w:rsidR="005B6ADC" w:rsidRPr="007F511B" w:rsidRDefault="005B6ADC" w:rsidP="005B6ADC">
          <w:pPr>
            <w:pStyle w:val="Header"/>
            <w:rPr>
              <w:b/>
              <w:bCs/>
              <w:color w:val="FF0000"/>
            </w:rPr>
          </w:pPr>
        </w:p>
      </w:tc>
      <w:tc>
        <w:tcPr>
          <w:tcW w:w="3005" w:type="dxa"/>
        </w:tcPr>
        <w:p w14:paraId="7D94618B" w14:textId="22BD420B" w:rsidR="005B6ADC" w:rsidRPr="007F511B" w:rsidRDefault="005B6ADC">
          <w:pPr>
            <w:pStyle w:val="Header"/>
            <w:ind w:right="-115"/>
            <w:jc w:val="right"/>
            <w:rPr>
              <w:b/>
              <w:bCs/>
              <w:color w:val="FF0000"/>
            </w:rPr>
          </w:pPr>
        </w:p>
      </w:tc>
    </w:tr>
  </w:tbl>
  <w:p w14:paraId="01EF7BCB" w14:textId="77777777" w:rsidR="008C625F" w:rsidRDefault="008C6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94A"/>
    <w:rsid w:val="00053C48"/>
    <w:rsid w:val="00067EA3"/>
    <w:rsid w:val="000C608B"/>
    <w:rsid w:val="001354B2"/>
    <w:rsid w:val="001651D5"/>
    <w:rsid w:val="00170DD0"/>
    <w:rsid w:val="002B39B8"/>
    <w:rsid w:val="003318BA"/>
    <w:rsid w:val="00333EF3"/>
    <w:rsid w:val="00342C63"/>
    <w:rsid w:val="0035474F"/>
    <w:rsid w:val="003A5ECF"/>
    <w:rsid w:val="003B15ED"/>
    <w:rsid w:val="003E1AEC"/>
    <w:rsid w:val="003E6DAA"/>
    <w:rsid w:val="00463D5B"/>
    <w:rsid w:val="004725D5"/>
    <w:rsid w:val="0048573B"/>
    <w:rsid w:val="004A6239"/>
    <w:rsid w:val="00521AAC"/>
    <w:rsid w:val="005737E9"/>
    <w:rsid w:val="005B6ADC"/>
    <w:rsid w:val="00633A8D"/>
    <w:rsid w:val="006945A8"/>
    <w:rsid w:val="006C7B02"/>
    <w:rsid w:val="006D1F78"/>
    <w:rsid w:val="006E194D"/>
    <w:rsid w:val="006F14E7"/>
    <w:rsid w:val="00704B1A"/>
    <w:rsid w:val="00746864"/>
    <w:rsid w:val="00776665"/>
    <w:rsid w:val="00782D66"/>
    <w:rsid w:val="007B0102"/>
    <w:rsid w:val="007B094A"/>
    <w:rsid w:val="007B664F"/>
    <w:rsid w:val="007C72A2"/>
    <w:rsid w:val="007F511B"/>
    <w:rsid w:val="00860048"/>
    <w:rsid w:val="008C625F"/>
    <w:rsid w:val="008C78C8"/>
    <w:rsid w:val="009A5B71"/>
    <w:rsid w:val="009D7396"/>
    <w:rsid w:val="009E0BDC"/>
    <w:rsid w:val="009F3844"/>
    <w:rsid w:val="00A254B0"/>
    <w:rsid w:val="00A65ED0"/>
    <w:rsid w:val="00A811B6"/>
    <w:rsid w:val="00B348BB"/>
    <w:rsid w:val="00BE4D2F"/>
    <w:rsid w:val="00C01548"/>
    <w:rsid w:val="00C20D51"/>
    <w:rsid w:val="00C32772"/>
    <w:rsid w:val="00C6433E"/>
    <w:rsid w:val="00C835AB"/>
    <w:rsid w:val="00C97DD8"/>
    <w:rsid w:val="00CA20B6"/>
    <w:rsid w:val="00CA4D03"/>
    <w:rsid w:val="00CD0199"/>
    <w:rsid w:val="00D41A0A"/>
    <w:rsid w:val="00D462CB"/>
    <w:rsid w:val="00D70A9D"/>
    <w:rsid w:val="00D73A07"/>
    <w:rsid w:val="00D74D28"/>
    <w:rsid w:val="00DA69E5"/>
    <w:rsid w:val="00DC388E"/>
    <w:rsid w:val="00DE5C44"/>
    <w:rsid w:val="00DF4494"/>
    <w:rsid w:val="00E24F63"/>
    <w:rsid w:val="00E30D68"/>
    <w:rsid w:val="00E31532"/>
    <w:rsid w:val="00E5201B"/>
    <w:rsid w:val="00E5305E"/>
    <w:rsid w:val="00E974C6"/>
    <w:rsid w:val="00EA718A"/>
    <w:rsid w:val="00EC3F27"/>
    <w:rsid w:val="00F133C8"/>
    <w:rsid w:val="00F5001B"/>
    <w:rsid w:val="00F5340C"/>
    <w:rsid w:val="00F55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C2EF"/>
  <w15:docId w15:val="{A58E1A41-BEB0-43EB-90C6-7C637C25B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94A"/>
    <w:pPr>
      <w:spacing w:after="0" w:line="240" w:lineRule="auto"/>
    </w:pPr>
    <w:rPr>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094A"/>
    <w:pPr>
      <w:tabs>
        <w:tab w:val="center" w:pos="4680"/>
        <w:tab w:val="right" w:pos="9360"/>
      </w:tabs>
    </w:pPr>
  </w:style>
  <w:style w:type="character" w:customStyle="1" w:styleId="HeaderChar">
    <w:name w:val="Header Char"/>
    <w:basedOn w:val="DefaultParagraphFont"/>
    <w:link w:val="Header"/>
    <w:uiPriority w:val="99"/>
    <w:rsid w:val="007B094A"/>
    <w:rPr>
      <w:kern w:val="0"/>
      <w:sz w:val="24"/>
      <w:szCs w:val="24"/>
      <w14:ligatures w14:val="none"/>
    </w:rPr>
  </w:style>
  <w:style w:type="paragraph" w:styleId="Footer">
    <w:name w:val="footer"/>
    <w:basedOn w:val="Normal"/>
    <w:link w:val="FooterChar"/>
    <w:uiPriority w:val="99"/>
    <w:unhideWhenUsed/>
    <w:rsid w:val="007B094A"/>
    <w:pPr>
      <w:tabs>
        <w:tab w:val="center" w:pos="4680"/>
        <w:tab w:val="right" w:pos="9360"/>
      </w:tabs>
    </w:pPr>
  </w:style>
  <w:style w:type="character" w:customStyle="1" w:styleId="FooterChar">
    <w:name w:val="Footer Char"/>
    <w:basedOn w:val="DefaultParagraphFont"/>
    <w:link w:val="Footer"/>
    <w:uiPriority w:val="99"/>
    <w:rsid w:val="007B094A"/>
    <w:rPr>
      <w:kern w:val="0"/>
      <w:sz w:val="24"/>
      <w:szCs w:val="24"/>
      <w14:ligatures w14:val="none"/>
    </w:rPr>
  </w:style>
  <w:style w:type="character" w:customStyle="1" w:styleId="cf01">
    <w:name w:val="cf01"/>
    <w:basedOn w:val="DefaultParagraphFont"/>
    <w:rsid w:val="007B094A"/>
    <w:rPr>
      <w:rFonts w:ascii="Segoe UI" w:hAnsi="Segoe UI" w:cs="Segoe UI" w:hint="default"/>
      <w:sz w:val="18"/>
      <w:szCs w:val="18"/>
    </w:rPr>
  </w:style>
  <w:style w:type="paragraph" w:styleId="Revision">
    <w:name w:val="Revision"/>
    <w:hidden/>
    <w:uiPriority w:val="99"/>
    <w:semiHidden/>
    <w:rsid w:val="00A254B0"/>
    <w:pPr>
      <w:spacing w:after="0" w:line="240" w:lineRule="auto"/>
    </w:pPr>
    <w:rPr>
      <w:kern w:val="0"/>
      <w:sz w:val="24"/>
      <w:szCs w:val="24"/>
      <w14:ligatures w14:val="none"/>
    </w:rPr>
  </w:style>
  <w:style w:type="character" w:styleId="CommentReference">
    <w:name w:val="annotation reference"/>
    <w:basedOn w:val="DefaultParagraphFont"/>
    <w:uiPriority w:val="99"/>
    <w:semiHidden/>
    <w:unhideWhenUsed/>
    <w:rsid w:val="006E194D"/>
    <w:rPr>
      <w:sz w:val="16"/>
      <w:szCs w:val="16"/>
    </w:rPr>
  </w:style>
  <w:style w:type="paragraph" w:styleId="CommentText">
    <w:name w:val="annotation text"/>
    <w:basedOn w:val="Normal"/>
    <w:link w:val="CommentTextChar"/>
    <w:uiPriority w:val="99"/>
    <w:unhideWhenUsed/>
    <w:rsid w:val="006E194D"/>
    <w:rPr>
      <w:sz w:val="20"/>
      <w:szCs w:val="20"/>
    </w:rPr>
  </w:style>
  <w:style w:type="character" w:customStyle="1" w:styleId="CommentTextChar">
    <w:name w:val="Comment Text Char"/>
    <w:basedOn w:val="DefaultParagraphFont"/>
    <w:link w:val="CommentText"/>
    <w:uiPriority w:val="99"/>
    <w:rsid w:val="006E194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194D"/>
    <w:rPr>
      <w:b/>
      <w:bCs/>
    </w:rPr>
  </w:style>
  <w:style w:type="character" w:customStyle="1" w:styleId="CommentSubjectChar">
    <w:name w:val="Comment Subject Char"/>
    <w:basedOn w:val="CommentTextChar"/>
    <w:link w:val="CommentSubject"/>
    <w:uiPriority w:val="99"/>
    <w:semiHidden/>
    <w:rsid w:val="006E194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cid:image001.jpg@01DA508E.BEC4882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39713-D69C-42ED-9ABE-6928A4F9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Ayela Spiro</dc:creator>
  <cp:keywords/>
  <dc:description/>
  <cp:lastModifiedBy>Kate Godber</cp:lastModifiedBy>
  <cp:revision>3</cp:revision>
  <cp:lastPrinted>2024-01-15T13:23:00Z</cp:lastPrinted>
  <dcterms:created xsi:type="dcterms:W3CDTF">2024-04-29T07:27:00Z</dcterms:created>
  <dcterms:modified xsi:type="dcterms:W3CDTF">2024-04-30T08:19:00Z</dcterms:modified>
</cp:coreProperties>
</file>