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7D5" w:rsidRPr="00B53034" w:rsidRDefault="00BD7C9C" w:rsidP="009647D5">
      <w:pPr>
        <w:tabs>
          <w:tab w:val="left" w:pos="3828"/>
        </w:tabs>
        <w:spacing w:before="120"/>
        <w:rPr>
          <w:b/>
          <w:color w:val="00B0F0"/>
          <w:sz w:val="28"/>
        </w:rPr>
      </w:pPr>
      <w:r w:rsidRPr="00450594">
        <w:rPr>
          <w:b/>
          <w:color w:val="00B0F0"/>
          <w:sz w:val="28"/>
        </w:rPr>
        <w:t>Aims of the IDDSI Adoption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372"/>
        <w:gridCol w:w="2530"/>
      </w:tblGrid>
      <w:tr w:rsidR="00B53034" w:rsidTr="00034D58">
        <w:trPr>
          <w:trHeight w:val="372"/>
        </w:trPr>
        <w:tc>
          <w:tcPr>
            <w:tcW w:w="9016" w:type="dxa"/>
            <w:gridSpan w:val="4"/>
            <w:shd w:val="clear" w:color="auto" w:fill="D9E2F3" w:themeFill="accent1" w:themeFillTint="33"/>
          </w:tcPr>
          <w:p w:rsidR="00B53034" w:rsidRPr="00450594" w:rsidRDefault="00B53034" w:rsidP="00BD7C9C">
            <w:pPr>
              <w:rPr>
                <w:b/>
                <w:color w:val="00B0F0"/>
                <w:sz w:val="28"/>
              </w:rPr>
            </w:pPr>
            <w:r>
              <w:rPr>
                <w:b/>
                <w:color w:val="00B0F0"/>
                <w:sz w:val="28"/>
              </w:rPr>
              <w:t xml:space="preserve">The adoption of the IDDSI framework </w:t>
            </w:r>
            <w:r w:rsidR="009224FF">
              <w:rPr>
                <w:b/>
                <w:color w:val="00B0F0"/>
                <w:sz w:val="28"/>
              </w:rPr>
              <w:t xml:space="preserve">in the UK </w:t>
            </w:r>
            <w:r>
              <w:rPr>
                <w:b/>
                <w:color w:val="00B0F0"/>
                <w:sz w:val="28"/>
              </w:rPr>
              <w:t>aims to improve the care of patients with dysphagia by: -</w:t>
            </w:r>
          </w:p>
        </w:tc>
      </w:tr>
      <w:tr w:rsidR="00BD7C9C" w:rsidTr="008F7704">
        <w:trPr>
          <w:trHeight w:val="372"/>
        </w:trPr>
        <w:tc>
          <w:tcPr>
            <w:tcW w:w="704" w:type="dxa"/>
            <w:shd w:val="clear" w:color="auto" w:fill="D9E2F3" w:themeFill="accent1" w:themeFillTint="33"/>
          </w:tcPr>
          <w:p w:rsidR="00BD7C9C" w:rsidRPr="00450594" w:rsidRDefault="00BD7C9C" w:rsidP="00BD7C9C">
            <w:pPr>
              <w:rPr>
                <w:b/>
                <w:color w:val="00B0F0"/>
                <w:sz w:val="32"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:rsidR="008F7704" w:rsidRPr="008F7704" w:rsidRDefault="00BD7C9C" w:rsidP="00BD7C9C">
            <w:pPr>
              <w:rPr>
                <w:b/>
                <w:color w:val="00B0F0"/>
              </w:rPr>
            </w:pPr>
            <w:r w:rsidRPr="008F7704">
              <w:rPr>
                <w:b/>
                <w:color w:val="00B0F0"/>
              </w:rPr>
              <w:t>Ai</w:t>
            </w:r>
            <w:r w:rsidR="008F7704">
              <w:rPr>
                <w:b/>
                <w:color w:val="00B0F0"/>
              </w:rPr>
              <w:t>m</w:t>
            </w:r>
          </w:p>
        </w:tc>
        <w:tc>
          <w:tcPr>
            <w:tcW w:w="3372" w:type="dxa"/>
            <w:shd w:val="clear" w:color="auto" w:fill="D9E2F3" w:themeFill="accent1" w:themeFillTint="33"/>
          </w:tcPr>
          <w:p w:rsidR="00BD7C9C" w:rsidRPr="008F7704" w:rsidRDefault="00BD7C9C" w:rsidP="00BD7C9C">
            <w:pPr>
              <w:rPr>
                <w:b/>
                <w:color w:val="00B0F0"/>
              </w:rPr>
            </w:pPr>
            <w:r w:rsidRPr="008F7704">
              <w:rPr>
                <w:b/>
                <w:color w:val="00B0F0"/>
              </w:rPr>
              <w:t>How?</w:t>
            </w:r>
          </w:p>
        </w:tc>
        <w:tc>
          <w:tcPr>
            <w:tcW w:w="2530" w:type="dxa"/>
            <w:shd w:val="clear" w:color="auto" w:fill="D9E2F3" w:themeFill="accent1" w:themeFillTint="33"/>
          </w:tcPr>
          <w:p w:rsidR="00BD7C9C" w:rsidRPr="008F7704" w:rsidRDefault="00BD7C9C" w:rsidP="00BD7C9C">
            <w:pPr>
              <w:rPr>
                <w:b/>
                <w:color w:val="00B0F0"/>
              </w:rPr>
            </w:pPr>
            <w:r w:rsidRPr="008F7704">
              <w:rPr>
                <w:b/>
                <w:color w:val="00B0F0"/>
              </w:rPr>
              <w:t>How to measure</w:t>
            </w:r>
          </w:p>
        </w:tc>
      </w:tr>
      <w:tr w:rsidR="00BD7C9C" w:rsidTr="009647D5">
        <w:tc>
          <w:tcPr>
            <w:tcW w:w="704" w:type="dxa"/>
            <w:shd w:val="clear" w:color="auto" w:fill="D9E2F3" w:themeFill="accent1" w:themeFillTint="33"/>
          </w:tcPr>
          <w:p w:rsidR="00BD7C9C" w:rsidRPr="00450594" w:rsidRDefault="00450594" w:rsidP="00BD7C9C">
            <w:pPr>
              <w:rPr>
                <w:b/>
                <w:color w:val="00B0F0"/>
                <w:sz w:val="32"/>
              </w:rPr>
            </w:pPr>
            <w:r w:rsidRPr="00450594">
              <w:rPr>
                <w:b/>
                <w:color w:val="00B0F0"/>
                <w:sz w:val="32"/>
              </w:rPr>
              <w:t>1</w:t>
            </w:r>
          </w:p>
        </w:tc>
        <w:tc>
          <w:tcPr>
            <w:tcW w:w="2410" w:type="dxa"/>
          </w:tcPr>
          <w:p w:rsidR="00BD7C9C" w:rsidRDefault="00BD7C9C" w:rsidP="00BD7C9C">
            <w:r>
              <w:t>Improv</w:t>
            </w:r>
            <w:r w:rsidR="00B53034">
              <w:t>ing</w:t>
            </w:r>
            <w:r>
              <w:t xml:space="preserve"> patient safety</w:t>
            </w:r>
          </w:p>
        </w:tc>
        <w:tc>
          <w:tcPr>
            <w:tcW w:w="3372" w:type="dxa"/>
          </w:tcPr>
          <w:p w:rsidR="00BD7C9C" w:rsidRDefault="00BD7C9C" w:rsidP="009647D5">
            <w:pPr>
              <w:pStyle w:val="ListParagraph"/>
              <w:numPr>
                <w:ilvl w:val="0"/>
                <w:numId w:val="2"/>
              </w:numPr>
              <w:ind w:left="430"/>
            </w:pPr>
            <w:r>
              <w:t>Each texture is evidenced</w:t>
            </w:r>
          </w:p>
          <w:p w:rsidR="00BD7C9C" w:rsidRDefault="00BD7C9C" w:rsidP="009647D5">
            <w:pPr>
              <w:pStyle w:val="ListParagraph"/>
              <w:numPr>
                <w:ilvl w:val="0"/>
                <w:numId w:val="2"/>
              </w:numPr>
              <w:ind w:left="430"/>
            </w:pPr>
            <w:r>
              <w:t>Enables travel of staff and patients as all countries / places in UK will be using same framework</w:t>
            </w:r>
          </w:p>
          <w:p w:rsidR="00BD7C9C" w:rsidRDefault="00BD7C9C" w:rsidP="009647D5">
            <w:pPr>
              <w:pStyle w:val="ListParagraph"/>
              <w:numPr>
                <w:ilvl w:val="0"/>
                <w:numId w:val="2"/>
              </w:numPr>
              <w:ind w:left="430"/>
            </w:pPr>
            <w:r>
              <w:t>Clear and easy for staff to understand framework</w:t>
            </w:r>
          </w:p>
          <w:p w:rsidR="00B53034" w:rsidRDefault="00B53034" w:rsidP="009647D5">
            <w:pPr>
              <w:pStyle w:val="ListParagraph"/>
              <w:numPr>
                <w:ilvl w:val="0"/>
                <w:numId w:val="2"/>
              </w:numPr>
              <w:ind w:left="430"/>
            </w:pPr>
            <w:r>
              <w:t>Easy to use testing</w:t>
            </w:r>
          </w:p>
          <w:p w:rsidR="00450594" w:rsidRDefault="00450594" w:rsidP="009647D5">
            <w:pPr>
              <w:pStyle w:val="ListParagraph"/>
              <w:ind w:left="430"/>
            </w:pPr>
          </w:p>
        </w:tc>
        <w:tc>
          <w:tcPr>
            <w:tcW w:w="2530" w:type="dxa"/>
          </w:tcPr>
          <w:p w:rsidR="00BD7C9C" w:rsidRDefault="00BD7C9C" w:rsidP="00BD7C9C">
            <w:r>
              <w:t>Number of incidents of choking and aspiration over a defined period</w:t>
            </w:r>
          </w:p>
        </w:tc>
      </w:tr>
      <w:tr w:rsidR="00BD7C9C" w:rsidTr="009647D5">
        <w:tc>
          <w:tcPr>
            <w:tcW w:w="704" w:type="dxa"/>
            <w:shd w:val="clear" w:color="auto" w:fill="D9E2F3" w:themeFill="accent1" w:themeFillTint="33"/>
          </w:tcPr>
          <w:p w:rsidR="00BD7C9C" w:rsidRPr="00450594" w:rsidRDefault="00450594" w:rsidP="00BD7C9C">
            <w:pPr>
              <w:rPr>
                <w:b/>
                <w:color w:val="00B0F0"/>
                <w:sz w:val="32"/>
              </w:rPr>
            </w:pPr>
            <w:r w:rsidRPr="00450594">
              <w:rPr>
                <w:b/>
                <w:color w:val="00B0F0"/>
                <w:sz w:val="32"/>
              </w:rPr>
              <w:t>2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BD7C9C" w:rsidRDefault="00B53034" w:rsidP="00BD7C9C">
            <w:r>
              <w:t>Making it e</w:t>
            </w:r>
            <w:r w:rsidR="00BD7C9C">
              <w:t>asier for staff and patients to understand and use</w:t>
            </w:r>
            <w:r>
              <w:t xml:space="preserve"> the texture modification descriptors framework</w:t>
            </w:r>
          </w:p>
        </w:tc>
        <w:tc>
          <w:tcPr>
            <w:tcW w:w="3372" w:type="dxa"/>
            <w:shd w:val="clear" w:color="auto" w:fill="D9E2F3" w:themeFill="accent1" w:themeFillTint="33"/>
          </w:tcPr>
          <w:p w:rsidR="00BD7C9C" w:rsidRDefault="00BD7C9C" w:rsidP="009647D5">
            <w:pPr>
              <w:pStyle w:val="ListParagraph"/>
              <w:numPr>
                <w:ilvl w:val="0"/>
                <w:numId w:val="3"/>
              </w:numPr>
              <w:ind w:left="430"/>
            </w:pPr>
            <w:r>
              <w:t>Colour coding</w:t>
            </w:r>
          </w:p>
          <w:p w:rsidR="00BD7C9C" w:rsidRDefault="00BD7C9C" w:rsidP="009647D5">
            <w:pPr>
              <w:pStyle w:val="ListParagraph"/>
              <w:numPr>
                <w:ilvl w:val="0"/>
                <w:numId w:val="3"/>
              </w:numPr>
              <w:ind w:left="430"/>
            </w:pPr>
            <w:r>
              <w:t>Numbers</w:t>
            </w:r>
          </w:p>
          <w:p w:rsidR="00BD7C9C" w:rsidRDefault="00BD7C9C" w:rsidP="009647D5">
            <w:pPr>
              <w:pStyle w:val="ListParagraph"/>
              <w:numPr>
                <w:ilvl w:val="0"/>
                <w:numId w:val="3"/>
              </w:numPr>
              <w:ind w:left="430"/>
            </w:pPr>
            <w:r>
              <w:t>Descriptions</w:t>
            </w:r>
          </w:p>
          <w:p w:rsidR="00BD7C9C" w:rsidRDefault="00BD7C9C" w:rsidP="009647D5">
            <w:pPr>
              <w:pStyle w:val="ListParagraph"/>
              <w:numPr>
                <w:ilvl w:val="0"/>
                <w:numId w:val="3"/>
              </w:numPr>
              <w:ind w:left="430"/>
            </w:pPr>
            <w:r>
              <w:t>Foods and fluids on one chart</w:t>
            </w:r>
          </w:p>
          <w:p w:rsidR="00B53034" w:rsidRDefault="00BD7C9C" w:rsidP="009647D5">
            <w:pPr>
              <w:pStyle w:val="ListParagraph"/>
              <w:numPr>
                <w:ilvl w:val="0"/>
                <w:numId w:val="3"/>
              </w:numPr>
              <w:ind w:left="430"/>
            </w:pPr>
            <w:r>
              <w:t>Overlap of fluids an</w:t>
            </w:r>
            <w:r w:rsidR="00450594">
              <w:t>d</w:t>
            </w:r>
            <w:r>
              <w:t xml:space="preserve"> foods is described</w:t>
            </w:r>
          </w:p>
          <w:p w:rsidR="00B53034" w:rsidRDefault="00B53034" w:rsidP="009647D5">
            <w:pPr>
              <w:pStyle w:val="ListParagraph"/>
              <w:numPr>
                <w:ilvl w:val="0"/>
                <w:numId w:val="3"/>
              </w:numPr>
              <w:ind w:left="430"/>
            </w:pPr>
            <w:r>
              <w:t>Easy to use testing methods</w:t>
            </w:r>
          </w:p>
          <w:p w:rsidR="00450594" w:rsidRDefault="00450594" w:rsidP="009647D5">
            <w:pPr>
              <w:pStyle w:val="ListParagraph"/>
              <w:ind w:left="430"/>
            </w:pPr>
          </w:p>
        </w:tc>
        <w:tc>
          <w:tcPr>
            <w:tcW w:w="2530" w:type="dxa"/>
            <w:shd w:val="clear" w:color="auto" w:fill="D9E2F3" w:themeFill="accent1" w:themeFillTint="33"/>
          </w:tcPr>
          <w:p w:rsidR="00BD7C9C" w:rsidRDefault="00BD7C9C" w:rsidP="00BD7C9C">
            <w:r>
              <w:t xml:space="preserve">Quantitative and qualitative questions </w:t>
            </w:r>
            <w:r w:rsidR="00450594">
              <w:t>pre-and</w:t>
            </w:r>
            <w:r>
              <w:t xml:space="preserve"> </w:t>
            </w:r>
            <w:r w:rsidR="00450594">
              <w:t>post-implementation</w:t>
            </w:r>
          </w:p>
        </w:tc>
      </w:tr>
      <w:tr w:rsidR="00BD7C9C" w:rsidTr="009647D5">
        <w:tc>
          <w:tcPr>
            <w:tcW w:w="704" w:type="dxa"/>
            <w:shd w:val="clear" w:color="auto" w:fill="D9E2F3" w:themeFill="accent1" w:themeFillTint="33"/>
          </w:tcPr>
          <w:p w:rsidR="00BD7C9C" w:rsidRPr="00450594" w:rsidRDefault="00450594" w:rsidP="00BD7C9C">
            <w:pPr>
              <w:rPr>
                <w:b/>
                <w:color w:val="00B0F0"/>
                <w:sz w:val="32"/>
              </w:rPr>
            </w:pPr>
            <w:r w:rsidRPr="00450594">
              <w:rPr>
                <w:b/>
                <w:color w:val="00B0F0"/>
                <w:sz w:val="32"/>
              </w:rPr>
              <w:t>3</w:t>
            </w:r>
          </w:p>
        </w:tc>
        <w:tc>
          <w:tcPr>
            <w:tcW w:w="2410" w:type="dxa"/>
          </w:tcPr>
          <w:p w:rsidR="00BD7C9C" w:rsidRDefault="00BD7C9C" w:rsidP="00BD7C9C">
            <w:r>
              <w:t>Rais</w:t>
            </w:r>
            <w:r w:rsidR="00B53034">
              <w:t>ing</w:t>
            </w:r>
            <w:r>
              <w:t xml:space="preserve"> the profile and understanding of dysphagia and texture modification as</w:t>
            </w:r>
            <w:r w:rsidR="00243ACC">
              <w:t xml:space="preserve"> management</w:t>
            </w:r>
            <w:r>
              <w:t xml:space="preserve"> amongst frontline staff</w:t>
            </w:r>
          </w:p>
          <w:p w:rsidR="00450594" w:rsidRDefault="00450594" w:rsidP="00BD7C9C"/>
        </w:tc>
        <w:tc>
          <w:tcPr>
            <w:tcW w:w="3372" w:type="dxa"/>
          </w:tcPr>
          <w:p w:rsidR="00BD7C9C" w:rsidRDefault="00BD7C9C" w:rsidP="009647D5">
            <w:pPr>
              <w:pStyle w:val="ListParagraph"/>
              <w:numPr>
                <w:ilvl w:val="0"/>
                <w:numId w:val="4"/>
              </w:numPr>
              <w:ind w:left="430"/>
            </w:pPr>
            <w:r>
              <w:t>Training</w:t>
            </w:r>
            <w:r w:rsidR="00B53034">
              <w:t xml:space="preserve"> front line staff</w:t>
            </w:r>
          </w:p>
          <w:p w:rsidR="00450594" w:rsidRDefault="00450594" w:rsidP="009647D5">
            <w:pPr>
              <w:pStyle w:val="ListParagraph"/>
              <w:numPr>
                <w:ilvl w:val="0"/>
                <w:numId w:val="4"/>
              </w:numPr>
              <w:ind w:left="430"/>
            </w:pPr>
            <w:r>
              <w:t>Dysphagia champions</w:t>
            </w:r>
          </w:p>
          <w:p w:rsidR="00BD7C9C" w:rsidRDefault="00BD7C9C" w:rsidP="009647D5">
            <w:pPr>
              <w:pStyle w:val="ListParagraph"/>
              <w:numPr>
                <w:ilvl w:val="0"/>
                <w:numId w:val="4"/>
              </w:numPr>
              <w:ind w:left="430"/>
            </w:pPr>
            <w:r>
              <w:t>Use of posters and adopted paperwork</w:t>
            </w:r>
          </w:p>
          <w:p w:rsidR="00BD7C9C" w:rsidRDefault="00BD7C9C" w:rsidP="009647D5">
            <w:pPr>
              <w:pStyle w:val="ListParagraph"/>
              <w:numPr>
                <w:ilvl w:val="0"/>
                <w:numId w:val="4"/>
              </w:numPr>
              <w:ind w:left="430"/>
            </w:pPr>
            <w:r>
              <w:t>Evaluations and audits</w:t>
            </w:r>
          </w:p>
        </w:tc>
        <w:tc>
          <w:tcPr>
            <w:tcW w:w="2530" w:type="dxa"/>
          </w:tcPr>
          <w:p w:rsidR="00BD7C9C" w:rsidRDefault="00BD7C9C" w:rsidP="009647D5">
            <w:pPr>
              <w:pStyle w:val="ListParagraph"/>
              <w:numPr>
                <w:ilvl w:val="0"/>
                <w:numId w:val="4"/>
              </w:numPr>
              <w:ind w:left="460"/>
            </w:pPr>
            <w:r>
              <w:t>Training evaluation</w:t>
            </w:r>
          </w:p>
          <w:p w:rsidR="00BD7C9C" w:rsidRDefault="00BD7C9C" w:rsidP="009647D5">
            <w:pPr>
              <w:pStyle w:val="ListParagraph"/>
              <w:numPr>
                <w:ilvl w:val="0"/>
                <w:numId w:val="4"/>
              </w:numPr>
              <w:ind w:left="460"/>
            </w:pPr>
            <w:r>
              <w:t>Auditing paperwork</w:t>
            </w:r>
          </w:p>
          <w:p w:rsidR="00B53034" w:rsidRDefault="00B53034" w:rsidP="009647D5">
            <w:pPr>
              <w:pStyle w:val="ListParagraph"/>
              <w:numPr>
                <w:ilvl w:val="0"/>
                <w:numId w:val="4"/>
              </w:numPr>
              <w:ind w:left="460"/>
            </w:pPr>
            <w:r>
              <w:t>Number of queries handled by Champions recorded over a defined period</w:t>
            </w:r>
          </w:p>
          <w:p w:rsidR="00BD7C9C" w:rsidRDefault="00BD7C9C" w:rsidP="00BD7C9C"/>
        </w:tc>
      </w:tr>
      <w:tr w:rsidR="00BD7C9C" w:rsidTr="009647D5">
        <w:tc>
          <w:tcPr>
            <w:tcW w:w="704" w:type="dxa"/>
            <w:shd w:val="clear" w:color="auto" w:fill="D9E2F3" w:themeFill="accent1" w:themeFillTint="33"/>
          </w:tcPr>
          <w:p w:rsidR="00BD7C9C" w:rsidRPr="00450594" w:rsidRDefault="00450594" w:rsidP="00BD7C9C">
            <w:pPr>
              <w:rPr>
                <w:b/>
                <w:color w:val="00B0F0"/>
                <w:sz w:val="32"/>
              </w:rPr>
            </w:pPr>
            <w:r w:rsidRPr="00450594">
              <w:rPr>
                <w:b/>
                <w:color w:val="00B0F0"/>
                <w:sz w:val="32"/>
              </w:rPr>
              <w:t>4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BD7C9C" w:rsidRDefault="00243ACC" w:rsidP="00BD7C9C">
            <w:r>
              <w:t>Enabl</w:t>
            </w:r>
            <w:r w:rsidR="00B53034">
              <w:t xml:space="preserve">ing </w:t>
            </w:r>
            <w:r w:rsidR="00450594">
              <w:t>and encourag</w:t>
            </w:r>
            <w:r w:rsidR="00B53034">
              <w:t>ing</w:t>
            </w:r>
            <w:r w:rsidR="00450594">
              <w:t xml:space="preserve"> research</w:t>
            </w:r>
            <w:r>
              <w:t xml:space="preserve"> into texture modification as a management for dysphagia </w:t>
            </w:r>
            <w:r w:rsidR="00B53034">
              <w:t>and other aspects of the care of patients with dysphagia</w:t>
            </w:r>
          </w:p>
          <w:p w:rsidR="00450594" w:rsidRDefault="00450594" w:rsidP="00BD7C9C"/>
        </w:tc>
        <w:tc>
          <w:tcPr>
            <w:tcW w:w="3372" w:type="dxa"/>
            <w:shd w:val="clear" w:color="auto" w:fill="D9E2F3" w:themeFill="accent1" w:themeFillTint="33"/>
          </w:tcPr>
          <w:p w:rsidR="00BD7C9C" w:rsidRDefault="00450594" w:rsidP="009647D5">
            <w:pPr>
              <w:pStyle w:val="ListParagraph"/>
              <w:numPr>
                <w:ilvl w:val="0"/>
                <w:numId w:val="5"/>
              </w:numPr>
              <w:ind w:left="430"/>
            </w:pPr>
            <w:r>
              <w:t>Dysphagia champions</w:t>
            </w:r>
            <w:r w:rsidR="00E42ACD">
              <w:t xml:space="preserve"> encourage</w:t>
            </w:r>
          </w:p>
          <w:p w:rsidR="00B53034" w:rsidRDefault="00B53034" w:rsidP="009647D5">
            <w:pPr>
              <w:pStyle w:val="ListParagraph"/>
              <w:numPr>
                <w:ilvl w:val="0"/>
                <w:numId w:val="5"/>
              </w:numPr>
              <w:ind w:left="430"/>
            </w:pPr>
            <w:r>
              <w:t>IDDSI website</w:t>
            </w:r>
          </w:p>
          <w:p w:rsidR="00B53034" w:rsidRDefault="00B53034" w:rsidP="009647D5">
            <w:pPr>
              <w:pStyle w:val="ListParagraph"/>
              <w:numPr>
                <w:ilvl w:val="0"/>
                <w:numId w:val="5"/>
              </w:numPr>
              <w:ind w:left="430"/>
            </w:pPr>
            <w:r>
              <w:t>BDA</w:t>
            </w:r>
            <w:r w:rsidR="00E42ACD">
              <w:t xml:space="preserve"> encourages</w:t>
            </w:r>
          </w:p>
          <w:p w:rsidR="00B53034" w:rsidRDefault="00B53034" w:rsidP="009647D5">
            <w:pPr>
              <w:pStyle w:val="ListParagraph"/>
              <w:numPr>
                <w:ilvl w:val="0"/>
                <w:numId w:val="5"/>
              </w:numPr>
              <w:ind w:left="430"/>
            </w:pPr>
            <w:r>
              <w:t>RCSLT</w:t>
            </w:r>
            <w:r w:rsidR="00E42ACD">
              <w:t xml:space="preserve"> encourages</w:t>
            </w:r>
          </w:p>
        </w:tc>
        <w:tc>
          <w:tcPr>
            <w:tcW w:w="2530" w:type="dxa"/>
            <w:shd w:val="clear" w:color="auto" w:fill="D9E2F3" w:themeFill="accent1" w:themeFillTint="33"/>
          </w:tcPr>
          <w:p w:rsidR="00BD7C9C" w:rsidRDefault="00450594" w:rsidP="00BD7C9C">
            <w:r>
              <w:t>Number of research projects completed and published in this area</w:t>
            </w:r>
            <w:r w:rsidR="00B53034">
              <w:t xml:space="preserve"> in a defined period post implementation</w:t>
            </w:r>
          </w:p>
        </w:tc>
      </w:tr>
      <w:tr w:rsidR="00034D58" w:rsidTr="00A16630">
        <w:tc>
          <w:tcPr>
            <w:tcW w:w="704" w:type="dxa"/>
            <w:shd w:val="clear" w:color="auto" w:fill="D9E2F3" w:themeFill="accent1" w:themeFillTint="33"/>
          </w:tcPr>
          <w:p w:rsidR="00034D58" w:rsidRPr="00450594" w:rsidRDefault="00034D58" w:rsidP="00BD7C9C">
            <w:pPr>
              <w:rPr>
                <w:b/>
                <w:color w:val="00B0F0"/>
                <w:sz w:val="32"/>
              </w:rPr>
            </w:pPr>
            <w:r>
              <w:rPr>
                <w:b/>
                <w:color w:val="00B0F0"/>
                <w:sz w:val="32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034D58" w:rsidRDefault="00034D58" w:rsidP="00BD7C9C">
            <w:r>
              <w:t>Encouraging inter</w:t>
            </w:r>
            <w:r w:rsidR="00A16630">
              <w:t>-</w:t>
            </w:r>
            <w:r>
              <w:t xml:space="preserve">professional collaboration to improve the safety and care of patients with dysphagia </w:t>
            </w:r>
          </w:p>
          <w:p w:rsidR="00DC35FF" w:rsidRDefault="00DC35FF" w:rsidP="00BD7C9C"/>
        </w:tc>
        <w:tc>
          <w:tcPr>
            <w:tcW w:w="3372" w:type="dxa"/>
            <w:shd w:val="clear" w:color="auto" w:fill="auto"/>
          </w:tcPr>
          <w:p w:rsidR="00034D58" w:rsidRDefault="009647D5" w:rsidP="009647D5">
            <w:pPr>
              <w:pStyle w:val="ListParagraph"/>
              <w:numPr>
                <w:ilvl w:val="0"/>
                <w:numId w:val="5"/>
              </w:numPr>
              <w:ind w:left="430"/>
            </w:pPr>
            <w:r>
              <w:t>Encouraging representation from Dietetics, SLT, Nursing and Food Service and others in implementation groups at hospitals and facilities</w:t>
            </w:r>
          </w:p>
        </w:tc>
        <w:tc>
          <w:tcPr>
            <w:tcW w:w="2530" w:type="dxa"/>
            <w:shd w:val="clear" w:color="auto" w:fill="auto"/>
          </w:tcPr>
          <w:p w:rsidR="00034D58" w:rsidRDefault="009647D5" w:rsidP="00BD7C9C">
            <w:r>
              <w:t xml:space="preserve">Diversity </w:t>
            </w:r>
            <w:r w:rsidR="00A16630">
              <w:t>of implementation</w:t>
            </w:r>
            <w:r>
              <w:t xml:space="preserve"> group membership </w:t>
            </w:r>
          </w:p>
        </w:tc>
      </w:tr>
    </w:tbl>
    <w:p w:rsidR="00BD7C9C" w:rsidRDefault="00BD7C9C" w:rsidP="008F7704">
      <w:bookmarkStart w:id="0" w:name="_GoBack"/>
      <w:bookmarkEnd w:id="0"/>
    </w:p>
    <w:sectPr w:rsidR="00BD7C9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D58" w:rsidRDefault="00034D58" w:rsidP="00450594">
      <w:pPr>
        <w:spacing w:after="0" w:line="240" w:lineRule="auto"/>
      </w:pPr>
      <w:r>
        <w:separator/>
      </w:r>
    </w:p>
  </w:endnote>
  <w:endnote w:type="continuationSeparator" w:id="0">
    <w:p w:rsidR="00034D58" w:rsidRDefault="00034D58" w:rsidP="0045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94A" w:rsidRDefault="0087594A">
    <w:pPr>
      <w:pStyle w:val="Footer"/>
    </w:pPr>
    <w:r>
      <w:t xml:space="preserve">Jan </w:t>
    </w:r>
    <w:proofErr w:type="gramStart"/>
    <w:r>
      <w:t>2018 :JI</w:t>
    </w:r>
    <w:proofErr w:type="gramEnd"/>
  </w:p>
  <w:p w:rsidR="0087594A" w:rsidRDefault="00875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D58" w:rsidRDefault="00034D58" w:rsidP="00450594">
      <w:pPr>
        <w:spacing w:after="0" w:line="240" w:lineRule="auto"/>
      </w:pPr>
      <w:r>
        <w:separator/>
      </w:r>
    </w:p>
  </w:footnote>
  <w:footnote w:type="continuationSeparator" w:id="0">
    <w:p w:rsidR="00034D58" w:rsidRDefault="00034D58" w:rsidP="0045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D58" w:rsidRDefault="00034D58">
    <w:pPr>
      <w:pStyle w:val="Header"/>
    </w:pPr>
    <w:r>
      <w:rPr>
        <w:noProof/>
        <w:lang w:val="en-US"/>
      </w:rPr>
      <w:drawing>
        <wp:inline distT="0" distB="0" distL="0" distR="0">
          <wp:extent cx="2635321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124" cy="52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24FEF"/>
    <w:multiLevelType w:val="hybridMultilevel"/>
    <w:tmpl w:val="A9304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01EB4"/>
    <w:multiLevelType w:val="hybridMultilevel"/>
    <w:tmpl w:val="0DB8C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84699"/>
    <w:multiLevelType w:val="hybridMultilevel"/>
    <w:tmpl w:val="1BC2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96DBC"/>
    <w:multiLevelType w:val="hybridMultilevel"/>
    <w:tmpl w:val="056E9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950FE"/>
    <w:multiLevelType w:val="hybridMultilevel"/>
    <w:tmpl w:val="6DFA6D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9C"/>
    <w:rsid w:val="00034D58"/>
    <w:rsid w:val="00161DD7"/>
    <w:rsid w:val="00243ACC"/>
    <w:rsid w:val="00450594"/>
    <w:rsid w:val="0087594A"/>
    <w:rsid w:val="008C6006"/>
    <w:rsid w:val="008D2785"/>
    <w:rsid w:val="008F7704"/>
    <w:rsid w:val="009224FF"/>
    <w:rsid w:val="00943383"/>
    <w:rsid w:val="009647D5"/>
    <w:rsid w:val="00A16630"/>
    <w:rsid w:val="00B53034"/>
    <w:rsid w:val="00BD7C9C"/>
    <w:rsid w:val="00D70FA8"/>
    <w:rsid w:val="00DC35FF"/>
    <w:rsid w:val="00E42ACD"/>
    <w:rsid w:val="00F5589B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72745"/>
  <w15:docId w15:val="{A78CA086-DC40-4C70-AB8F-DDB8A47F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C9C"/>
    <w:pPr>
      <w:ind w:left="720"/>
      <w:contextualSpacing/>
    </w:pPr>
  </w:style>
  <w:style w:type="table" w:styleId="TableGrid">
    <w:name w:val="Table Grid"/>
    <w:basedOn w:val="TableNormal"/>
    <w:uiPriority w:val="39"/>
    <w:rsid w:val="00BD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594"/>
  </w:style>
  <w:style w:type="paragraph" w:styleId="Footer">
    <w:name w:val="footer"/>
    <w:basedOn w:val="Normal"/>
    <w:link w:val="FooterChar"/>
    <w:uiPriority w:val="99"/>
    <w:unhideWhenUsed/>
    <w:rsid w:val="00450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594"/>
  </w:style>
  <w:style w:type="paragraph" w:styleId="BalloonText">
    <w:name w:val="Balloon Text"/>
    <w:basedOn w:val="Normal"/>
    <w:link w:val="BalloonTextChar"/>
    <w:uiPriority w:val="99"/>
    <w:semiHidden/>
    <w:unhideWhenUsed/>
    <w:rsid w:val="00FE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58FA-FFE2-4BEA-877E-E05F5A83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Instone</dc:creator>
  <cp:keywords/>
  <dc:description/>
  <cp:lastModifiedBy>Joanna Instone</cp:lastModifiedBy>
  <cp:revision>3</cp:revision>
  <cp:lastPrinted>2018-01-10T09:49:00Z</cp:lastPrinted>
  <dcterms:created xsi:type="dcterms:W3CDTF">2018-01-10T09:28:00Z</dcterms:created>
  <dcterms:modified xsi:type="dcterms:W3CDTF">2018-01-10T09:53:00Z</dcterms:modified>
</cp:coreProperties>
</file>